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6084FA">
      <w:pPr>
        <w:jc w:val="center"/>
        <w:rPr>
          <w:rFonts w:ascii="宋体"/>
          <w:b/>
          <w:sz w:val="44"/>
        </w:rPr>
      </w:pPr>
    </w:p>
    <w:p w14:paraId="06DA5EAA">
      <w:pPr>
        <w:jc w:val="center"/>
        <w:rPr>
          <w:rFonts w:ascii="Arial" w:hAnsi="Arial" w:cs="Arial"/>
          <w:b/>
          <w:sz w:val="48"/>
          <w:szCs w:val="48"/>
        </w:rPr>
      </w:pPr>
    </w:p>
    <w:p w14:paraId="026E4C58">
      <w:pPr>
        <w:jc w:val="center"/>
        <w:rPr>
          <w:rFonts w:ascii="Arial" w:hAnsi="Arial" w:cs="Arial"/>
          <w:b/>
          <w:sz w:val="48"/>
          <w:szCs w:val="48"/>
        </w:rPr>
      </w:pPr>
    </w:p>
    <w:p w14:paraId="5C73825E">
      <w:pPr>
        <w:jc w:val="center"/>
        <w:rPr>
          <w:rFonts w:ascii="Arial" w:hAnsi="Arial" w:cs="Arial"/>
          <w:b/>
          <w:sz w:val="48"/>
          <w:szCs w:val="48"/>
        </w:rPr>
      </w:pPr>
    </w:p>
    <w:p w14:paraId="565D250B">
      <w:pPr>
        <w:jc w:val="center"/>
        <w:rPr>
          <w:rFonts w:ascii="Arial" w:hAnsi="Arial" w:cs="Arial"/>
          <w:b/>
          <w:sz w:val="48"/>
          <w:szCs w:val="48"/>
        </w:rPr>
      </w:pPr>
      <w:r>
        <w:rPr>
          <w:rFonts w:hint="eastAsia" w:ascii="Arial" w:hAnsi="Arial" w:cs="Arial"/>
          <w:b/>
          <w:sz w:val="48"/>
          <w:szCs w:val="48"/>
        </w:rPr>
        <w:t>货物类招标代理机构</w:t>
      </w:r>
    </w:p>
    <w:p w14:paraId="4E63001F">
      <w:pPr>
        <w:spacing w:line="312" w:lineRule="auto"/>
        <w:jc w:val="center"/>
        <w:rPr>
          <w:rFonts w:ascii="宋体" w:hAnsi="宋体"/>
          <w:b/>
          <w:spacing w:val="40"/>
          <w:sz w:val="52"/>
          <w:szCs w:val="52"/>
        </w:rPr>
      </w:pPr>
      <w:r>
        <w:rPr>
          <w:rFonts w:hint="eastAsia" w:ascii="宋体" w:hAnsi="宋体"/>
          <w:b/>
          <w:spacing w:val="40"/>
          <w:sz w:val="52"/>
          <w:szCs w:val="52"/>
        </w:rPr>
        <w:t>遴选文件</w:t>
      </w:r>
    </w:p>
    <w:p w14:paraId="47087908">
      <w:pPr>
        <w:jc w:val="center"/>
        <w:rPr>
          <w:rFonts w:ascii="宋体"/>
          <w:sz w:val="28"/>
          <w:highlight w:val="yellow"/>
        </w:rPr>
      </w:pPr>
    </w:p>
    <w:p w14:paraId="2B180498">
      <w:pPr>
        <w:jc w:val="center"/>
        <w:rPr>
          <w:rFonts w:ascii="宋体"/>
          <w:sz w:val="28"/>
          <w:highlight w:val="yellow"/>
        </w:rPr>
      </w:pPr>
    </w:p>
    <w:p w14:paraId="53750925">
      <w:pPr>
        <w:jc w:val="center"/>
        <w:rPr>
          <w:rFonts w:ascii="宋体"/>
          <w:sz w:val="28"/>
          <w:highlight w:val="yellow"/>
        </w:rPr>
      </w:pPr>
    </w:p>
    <w:p w14:paraId="4BECA6AF">
      <w:pPr>
        <w:jc w:val="center"/>
        <w:rPr>
          <w:rFonts w:ascii="宋体"/>
          <w:sz w:val="28"/>
          <w:highlight w:val="yellow"/>
        </w:rPr>
      </w:pPr>
    </w:p>
    <w:p w14:paraId="50C36409">
      <w:pPr>
        <w:jc w:val="center"/>
        <w:rPr>
          <w:rFonts w:ascii="宋体"/>
          <w:sz w:val="28"/>
          <w:highlight w:val="yellow"/>
        </w:rPr>
      </w:pPr>
    </w:p>
    <w:p w14:paraId="72E18CA7">
      <w:pPr>
        <w:jc w:val="center"/>
        <w:rPr>
          <w:rFonts w:ascii="宋体"/>
          <w:sz w:val="28"/>
          <w:highlight w:val="yellow"/>
        </w:rPr>
      </w:pPr>
    </w:p>
    <w:p w14:paraId="51DDC546">
      <w:pPr>
        <w:jc w:val="center"/>
        <w:rPr>
          <w:rFonts w:ascii="宋体"/>
          <w:sz w:val="28"/>
          <w:highlight w:val="yellow"/>
        </w:rPr>
      </w:pPr>
    </w:p>
    <w:p w14:paraId="43E5E9C4">
      <w:pPr>
        <w:jc w:val="center"/>
        <w:rPr>
          <w:rFonts w:ascii="宋体"/>
          <w:sz w:val="28"/>
          <w:highlight w:val="yellow"/>
        </w:rPr>
      </w:pPr>
    </w:p>
    <w:p w14:paraId="6645EE26">
      <w:pPr>
        <w:jc w:val="center"/>
        <w:rPr>
          <w:rFonts w:ascii="宋体"/>
          <w:sz w:val="28"/>
          <w:highlight w:val="yellow"/>
        </w:rPr>
      </w:pPr>
    </w:p>
    <w:p w14:paraId="23CE21DD">
      <w:pPr>
        <w:jc w:val="center"/>
        <w:rPr>
          <w:rFonts w:ascii="宋体"/>
          <w:sz w:val="28"/>
          <w:highlight w:val="yellow"/>
        </w:rPr>
      </w:pPr>
    </w:p>
    <w:p w14:paraId="35F5F101">
      <w:pPr>
        <w:jc w:val="center"/>
        <w:rPr>
          <w:rFonts w:ascii="宋体"/>
          <w:sz w:val="28"/>
          <w:highlight w:val="yellow"/>
        </w:rPr>
      </w:pPr>
    </w:p>
    <w:p w14:paraId="372B8569">
      <w:pPr>
        <w:jc w:val="center"/>
        <w:rPr>
          <w:rFonts w:ascii="宋体"/>
          <w:sz w:val="28"/>
          <w:highlight w:val="yellow"/>
        </w:rPr>
      </w:pPr>
    </w:p>
    <w:p w14:paraId="1BA9E304">
      <w:pPr>
        <w:jc w:val="center"/>
        <w:rPr>
          <w:rFonts w:ascii="宋体"/>
          <w:sz w:val="28"/>
          <w:highlight w:val="yellow"/>
        </w:rPr>
      </w:pPr>
    </w:p>
    <w:p w14:paraId="5F76CA12">
      <w:pPr>
        <w:jc w:val="center"/>
        <w:rPr>
          <w:rFonts w:ascii="宋体"/>
          <w:sz w:val="28"/>
          <w:highlight w:val="yellow"/>
        </w:rPr>
      </w:pPr>
    </w:p>
    <w:p w14:paraId="6B330887">
      <w:pPr>
        <w:jc w:val="center"/>
        <w:rPr>
          <w:rFonts w:ascii="宋体"/>
          <w:sz w:val="28"/>
          <w:highlight w:val="yellow"/>
        </w:rPr>
      </w:pPr>
    </w:p>
    <w:p w14:paraId="1FDB03C7">
      <w:pPr>
        <w:jc w:val="center"/>
        <w:rPr>
          <w:rFonts w:ascii="宋体"/>
          <w:sz w:val="28"/>
          <w:highlight w:val="yellow"/>
        </w:rPr>
      </w:pPr>
    </w:p>
    <w:p w14:paraId="302CAFF4">
      <w:pPr>
        <w:jc w:val="center"/>
        <w:rPr>
          <w:rFonts w:ascii="宋体"/>
          <w:sz w:val="28"/>
          <w:highlight w:val="yellow"/>
        </w:rPr>
      </w:pPr>
    </w:p>
    <w:p w14:paraId="3D66E222">
      <w:pPr>
        <w:jc w:val="center"/>
        <w:rPr>
          <w:rFonts w:ascii="宋体"/>
          <w:sz w:val="28"/>
          <w:highlight w:val="yellow"/>
        </w:rPr>
      </w:pPr>
    </w:p>
    <w:p w14:paraId="2EFDF890">
      <w:pPr>
        <w:pStyle w:val="7"/>
        <w:ind w:firstLine="750" w:firstLineChars="249"/>
        <w:jc w:val="center"/>
        <w:rPr>
          <w:rFonts w:ascii="Arial" w:hAnsi="Arial" w:cs="Arial"/>
          <w:b/>
          <w:sz w:val="30"/>
          <w:szCs w:val="30"/>
        </w:rPr>
      </w:pPr>
      <w:r>
        <w:rPr>
          <w:rFonts w:hint="eastAsia" w:ascii="Arial" w:hAnsi="Arial" w:cs="Arial"/>
          <w:b/>
          <w:sz w:val="30"/>
          <w:szCs w:val="30"/>
        </w:rPr>
        <w:t>遴选人：中国医学科学院北京协和医院</w:t>
      </w:r>
    </w:p>
    <w:p w14:paraId="32F2AB6F">
      <w:pPr>
        <w:spacing w:line="360" w:lineRule="auto"/>
        <w:jc w:val="center"/>
        <w:rPr>
          <w:rFonts w:ascii="Arial" w:hAnsi="Arial"/>
          <w:b/>
          <w:sz w:val="48"/>
        </w:rPr>
      </w:pPr>
      <w:r>
        <w:rPr>
          <w:rFonts w:ascii="宋体" w:hAnsi="宋体" w:cs="Arial"/>
          <w:b/>
          <w:sz w:val="30"/>
          <w:szCs w:val="30"/>
        </w:rPr>
        <w:t>202</w:t>
      </w:r>
      <w:r>
        <w:rPr>
          <w:rFonts w:hint="eastAsia" w:ascii="宋体" w:hAnsi="宋体" w:cs="Arial"/>
          <w:b/>
          <w:sz w:val="30"/>
          <w:szCs w:val="30"/>
        </w:rPr>
        <w:t>6年</w:t>
      </w:r>
      <w:r>
        <w:rPr>
          <w:rFonts w:ascii="宋体" w:hAnsi="宋体" w:cs="Arial"/>
          <w:b/>
          <w:sz w:val="30"/>
          <w:szCs w:val="30"/>
        </w:rPr>
        <w:t>6</w:t>
      </w:r>
      <w:r>
        <w:rPr>
          <w:rFonts w:hint="eastAsia" w:ascii="宋体" w:hAnsi="宋体" w:cs="Arial"/>
          <w:b/>
          <w:sz w:val="30"/>
          <w:szCs w:val="30"/>
        </w:rPr>
        <w:t>月</w:t>
      </w:r>
    </w:p>
    <w:p w14:paraId="112C80A0">
      <w:pPr>
        <w:spacing w:line="360" w:lineRule="auto"/>
        <w:rPr>
          <w:rFonts w:ascii="Arial" w:hAnsi="Arial"/>
          <w:b/>
          <w:sz w:val="48"/>
        </w:rPr>
        <w:sectPr>
          <w:headerReference r:id="rId4" w:type="first"/>
          <w:headerReference r:id="rId3" w:type="default"/>
          <w:footerReference r:id="rId5" w:type="default"/>
          <w:footerReference r:id="rId6" w:type="even"/>
          <w:pgSz w:w="11907" w:h="16840"/>
          <w:pgMar w:top="1418" w:right="1134" w:bottom="1134" w:left="1418" w:header="680" w:footer="907" w:gutter="0"/>
          <w:cols w:space="720" w:num="1"/>
          <w:titlePg/>
          <w:docGrid w:linePitch="271" w:charSpace="0"/>
        </w:sectPr>
      </w:pPr>
    </w:p>
    <w:p w14:paraId="4097F2FA">
      <w:pPr>
        <w:pStyle w:val="2"/>
        <w:keepLines/>
        <w:rPr>
          <w:rFonts w:ascii="宋体" w:hAnsi="宋体"/>
          <w:bCs/>
          <w:kern w:val="44"/>
          <w:sz w:val="32"/>
          <w:szCs w:val="30"/>
        </w:rPr>
      </w:pPr>
      <w:bookmarkStart w:id="0" w:name="_Toc175123530"/>
      <w:bookmarkStart w:id="1" w:name="_Toc358286563"/>
      <w:r>
        <w:rPr>
          <w:rFonts w:hint="eastAsia" w:ascii="宋体" w:hAnsi="宋体"/>
          <w:bCs/>
          <w:kern w:val="44"/>
          <w:sz w:val="32"/>
          <w:szCs w:val="30"/>
        </w:rPr>
        <w:t>第一章</w:t>
      </w:r>
      <w:r>
        <w:rPr>
          <w:rFonts w:ascii="宋体" w:hAnsi="宋体"/>
          <w:bCs/>
          <w:kern w:val="44"/>
          <w:sz w:val="32"/>
          <w:szCs w:val="30"/>
        </w:rPr>
        <w:t xml:space="preserve"> </w:t>
      </w:r>
      <w:r>
        <w:rPr>
          <w:rFonts w:hint="eastAsia" w:ascii="宋体" w:hAnsi="宋体"/>
          <w:bCs/>
          <w:kern w:val="44"/>
          <w:sz w:val="32"/>
          <w:szCs w:val="30"/>
        </w:rPr>
        <w:t>投标须知</w:t>
      </w:r>
      <w:bookmarkEnd w:id="0"/>
      <w:bookmarkEnd w:id="1"/>
    </w:p>
    <w:p w14:paraId="205146F3">
      <w:pPr>
        <w:adjustRightInd w:val="0"/>
        <w:snapToGrid w:val="0"/>
        <w:spacing w:line="360" w:lineRule="auto"/>
        <w:rPr>
          <w:rFonts w:ascii="宋体" w:hAnsi="宋体"/>
          <w:b/>
          <w:sz w:val="24"/>
          <w:szCs w:val="24"/>
        </w:rPr>
      </w:pPr>
      <w:r>
        <w:rPr>
          <w:rFonts w:hint="eastAsia" w:ascii="宋体" w:hAnsi="宋体"/>
          <w:b/>
          <w:sz w:val="24"/>
          <w:szCs w:val="24"/>
        </w:rPr>
        <w:t>1.项目概况</w:t>
      </w:r>
    </w:p>
    <w:p w14:paraId="691BA1DB">
      <w:pPr>
        <w:autoSpaceDE w:val="0"/>
        <w:autoSpaceDN w:val="0"/>
        <w:adjustRightInd w:val="0"/>
        <w:snapToGrid w:val="0"/>
        <w:spacing w:line="360" w:lineRule="auto"/>
        <w:rPr>
          <w:rFonts w:ascii="宋体" w:hAnsi="宋体"/>
          <w:kern w:val="0"/>
          <w:sz w:val="24"/>
          <w:szCs w:val="24"/>
        </w:rPr>
      </w:pPr>
      <w:bookmarkStart w:id="2" w:name="_Toc181544819"/>
      <w:r>
        <w:rPr>
          <w:rFonts w:hint="eastAsia" w:ascii="宋体" w:hAnsi="宋体"/>
          <w:kern w:val="0"/>
          <w:sz w:val="24"/>
          <w:szCs w:val="24"/>
        </w:rPr>
        <w:t>1.1项目名称：北京协和医院2026-2028年度货物类招标代理机构</w:t>
      </w:r>
      <w:r>
        <w:rPr>
          <w:rFonts w:ascii="宋体" w:hAnsi="宋体"/>
          <w:kern w:val="0"/>
          <w:sz w:val="24"/>
          <w:szCs w:val="24"/>
        </w:rPr>
        <w:t>遴选</w:t>
      </w:r>
      <w:r>
        <w:rPr>
          <w:rFonts w:hint="eastAsia" w:ascii="宋体" w:hAnsi="宋体"/>
          <w:kern w:val="0"/>
          <w:sz w:val="24"/>
          <w:szCs w:val="24"/>
        </w:rPr>
        <w:t>项目</w:t>
      </w:r>
    </w:p>
    <w:p w14:paraId="641D36A2">
      <w:pPr>
        <w:autoSpaceDE w:val="0"/>
        <w:autoSpaceDN w:val="0"/>
        <w:adjustRightInd w:val="0"/>
        <w:snapToGrid w:val="0"/>
        <w:spacing w:line="360" w:lineRule="auto"/>
        <w:rPr>
          <w:rFonts w:ascii="宋体" w:hAnsi="宋体"/>
          <w:kern w:val="0"/>
          <w:sz w:val="24"/>
          <w:szCs w:val="24"/>
        </w:rPr>
      </w:pPr>
      <w:r>
        <w:rPr>
          <w:rFonts w:hint="eastAsia" w:ascii="宋体" w:hAnsi="宋体"/>
          <w:kern w:val="0"/>
          <w:sz w:val="24"/>
          <w:szCs w:val="24"/>
        </w:rPr>
        <w:t>1.2项目单位：中国医学科学院北京协和医院</w:t>
      </w:r>
    </w:p>
    <w:p w14:paraId="4FC5CA27">
      <w:pPr>
        <w:autoSpaceDE w:val="0"/>
        <w:autoSpaceDN w:val="0"/>
        <w:adjustRightInd w:val="0"/>
        <w:snapToGrid w:val="0"/>
        <w:spacing w:line="360" w:lineRule="auto"/>
        <w:rPr>
          <w:rFonts w:ascii="宋体" w:hAnsi="宋体"/>
          <w:sz w:val="24"/>
          <w:szCs w:val="24"/>
        </w:rPr>
      </w:pPr>
      <w:r>
        <w:rPr>
          <w:rFonts w:hint="eastAsia" w:ascii="宋体" w:hAnsi="宋体"/>
          <w:kern w:val="0"/>
          <w:sz w:val="24"/>
          <w:szCs w:val="24"/>
        </w:rPr>
        <w:t>1.3</w:t>
      </w:r>
      <w:r>
        <w:rPr>
          <w:rFonts w:hint="eastAsia" w:ascii="宋体" w:hAnsi="宋体"/>
          <w:sz w:val="24"/>
          <w:szCs w:val="24"/>
        </w:rPr>
        <w:t>资金来源：财政拨款和自筹</w:t>
      </w:r>
    </w:p>
    <w:bookmarkEnd w:id="2"/>
    <w:p w14:paraId="71E92A2F">
      <w:pPr>
        <w:adjustRightInd w:val="0"/>
        <w:snapToGrid w:val="0"/>
        <w:spacing w:line="360" w:lineRule="auto"/>
        <w:rPr>
          <w:rFonts w:ascii="宋体" w:hAnsi="宋体"/>
          <w:b/>
          <w:sz w:val="24"/>
          <w:szCs w:val="24"/>
        </w:rPr>
      </w:pPr>
      <w:bookmarkStart w:id="3" w:name="_Toc152642966"/>
      <w:bookmarkStart w:id="4" w:name="_Toc152644297"/>
      <w:bookmarkStart w:id="5" w:name="_Toc152642873"/>
      <w:bookmarkStart w:id="6" w:name="_Toc152579461"/>
      <w:bookmarkStart w:id="7" w:name="_Toc152647112"/>
      <w:bookmarkStart w:id="8" w:name="_Toc181544843"/>
      <w:bookmarkStart w:id="9" w:name="_Toc152645542"/>
      <w:bookmarkStart w:id="10" w:name="_Toc237405695"/>
      <w:r>
        <w:rPr>
          <w:rFonts w:hint="eastAsia" w:ascii="宋体" w:hAnsi="宋体"/>
          <w:b/>
          <w:sz w:val="24"/>
          <w:szCs w:val="24"/>
        </w:rPr>
        <w:t>2.遴选人</w:t>
      </w:r>
      <w:bookmarkEnd w:id="3"/>
      <w:bookmarkEnd w:id="4"/>
      <w:bookmarkEnd w:id="5"/>
      <w:bookmarkEnd w:id="6"/>
      <w:bookmarkEnd w:id="7"/>
      <w:bookmarkEnd w:id="8"/>
      <w:bookmarkEnd w:id="9"/>
      <w:bookmarkEnd w:id="10"/>
    </w:p>
    <w:p w14:paraId="19043C1F">
      <w:pPr>
        <w:autoSpaceDE w:val="0"/>
        <w:autoSpaceDN w:val="0"/>
        <w:adjustRightInd w:val="0"/>
        <w:snapToGrid w:val="0"/>
        <w:spacing w:line="360" w:lineRule="auto"/>
        <w:rPr>
          <w:rFonts w:ascii="宋体" w:hAnsi="宋体"/>
          <w:sz w:val="24"/>
          <w:szCs w:val="24"/>
          <w:u w:val="single"/>
        </w:rPr>
      </w:pPr>
      <w:bookmarkStart w:id="11" w:name="_Toc181544845"/>
      <w:r>
        <w:rPr>
          <w:rFonts w:hint="eastAsia" w:ascii="宋体" w:hAnsi="宋体"/>
          <w:sz w:val="24"/>
          <w:szCs w:val="24"/>
        </w:rPr>
        <w:t>2.1遴选人：</w:t>
      </w:r>
      <w:bookmarkEnd w:id="11"/>
      <w:bookmarkStart w:id="12" w:name="_Toc181544846"/>
      <w:r>
        <w:rPr>
          <w:rFonts w:hint="eastAsia" w:ascii="宋体" w:hAnsi="宋体"/>
          <w:sz w:val="24"/>
          <w:szCs w:val="24"/>
        </w:rPr>
        <w:t>中国医学科学院北京协和医院</w:t>
      </w:r>
    </w:p>
    <w:p w14:paraId="52832C3B">
      <w:pPr>
        <w:autoSpaceDE w:val="0"/>
        <w:autoSpaceDN w:val="0"/>
        <w:adjustRightInd w:val="0"/>
        <w:snapToGrid w:val="0"/>
        <w:spacing w:line="360" w:lineRule="auto"/>
        <w:rPr>
          <w:rFonts w:ascii="宋体" w:hAnsi="宋体"/>
          <w:sz w:val="24"/>
          <w:szCs w:val="24"/>
          <w:u w:val="single"/>
        </w:rPr>
      </w:pPr>
      <w:r>
        <w:rPr>
          <w:rFonts w:hint="eastAsia" w:ascii="宋体" w:hAnsi="宋体"/>
          <w:sz w:val="24"/>
          <w:szCs w:val="24"/>
        </w:rPr>
        <w:t>2.2</w:t>
      </w:r>
      <w:r>
        <w:rPr>
          <w:rFonts w:hint="eastAsia" w:ascii="宋体" w:hAnsi="宋体"/>
          <w:kern w:val="0"/>
          <w:sz w:val="24"/>
          <w:szCs w:val="24"/>
        </w:rPr>
        <w:t>联系人</w:t>
      </w:r>
      <w:r>
        <w:rPr>
          <w:rFonts w:hint="eastAsia" w:ascii="宋体" w:hAnsi="宋体"/>
          <w:sz w:val="24"/>
          <w:szCs w:val="24"/>
        </w:rPr>
        <w:t>：</w:t>
      </w:r>
      <w:bookmarkEnd w:id="12"/>
      <w:r>
        <w:rPr>
          <w:rFonts w:hint="eastAsia" w:ascii="宋体" w:hAnsi="宋体"/>
          <w:sz w:val="24"/>
          <w:szCs w:val="24"/>
        </w:rPr>
        <w:t>刘老师，联系电话：010-69156696</w:t>
      </w:r>
    </w:p>
    <w:p w14:paraId="0D44AB67">
      <w:pPr>
        <w:adjustRightInd w:val="0"/>
        <w:snapToGrid w:val="0"/>
        <w:spacing w:line="360" w:lineRule="auto"/>
        <w:rPr>
          <w:rFonts w:ascii="宋体" w:hAnsi="宋体"/>
          <w:b/>
          <w:sz w:val="24"/>
          <w:szCs w:val="24"/>
        </w:rPr>
      </w:pPr>
      <w:r>
        <w:rPr>
          <w:rFonts w:hint="eastAsia" w:ascii="宋体" w:hAnsi="宋体"/>
          <w:b/>
          <w:sz w:val="24"/>
          <w:szCs w:val="24"/>
        </w:rPr>
        <w:t>3.遴选形式</w:t>
      </w:r>
    </w:p>
    <w:p w14:paraId="1E704B56">
      <w:pPr>
        <w:adjustRightInd w:val="0"/>
        <w:snapToGrid w:val="0"/>
        <w:spacing w:line="360" w:lineRule="auto"/>
        <w:rPr>
          <w:rFonts w:ascii="宋体" w:hAnsi="宋体"/>
          <w:sz w:val="24"/>
          <w:szCs w:val="24"/>
        </w:rPr>
      </w:pPr>
      <w:r>
        <w:rPr>
          <w:rFonts w:hint="eastAsia" w:ascii="宋体" w:hAnsi="宋体"/>
          <w:sz w:val="24"/>
          <w:szCs w:val="24"/>
        </w:rPr>
        <w:t>3.1竞争性遴选</w:t>
      </w:r>
    </w:p>
    <w:p w14:paraId="5506EF91">
      <w:pPr>
        <w:adjustRightInd w:val="0"/>
        <w:snapToGrid w:val="0"/>
        <w:spacing w:line="360" w:lineRule="auto"/>
        <w:rPr>
          <w:rFonts w:ascii="宋体" w:hAnsi="宋体"/>
          <w:b/>
          <w:sz w:val="24"/>
          <w:szCs w:val="24"/>
        </w:rPr>
      </w:pPr>
      <w:r>
        <w:rPr>
          <w:rFonts w:hint="eastAsia" w:ascii="宋体" w:hAnsi="宋体"/>
          <w:b/>
          <w:sz w:val="24"/>
          <w:szCs w:val="24"/>
        </w:rPr>
        <w:t>4.遴选范围</w:t>
      </w:r>
    </w:p>
    <w:p w14:paraId="062178E7">
      <w:pPr>
        <w:spacing w:line="360" w:lineRule="auto"/>
        <w:rPr>
          <w:sz w:val="24"/>
        </w:rPr>
      </w:pPr>
      <w:r>
        <w:rPr>
          <w:rFonts w:hint="eastAsia" w:ascii="宋体" w:hAnsi="宋体"/>
          <w:sz w:val="24"/>
          <w:szCs w:val="24"/>
        </w:rPr>
        <w:t>4.1货物类招标代理。</w:t>
      </w:r>
      <w:r>
        <w:rPr>
          <w:rFonts w:hint="eastAsia"/>
          <w:sz w:val="24"/>
        </w:rPr>
        <w:t>承担医院各类医疗、教学、科研专用仪器设备，医用耗材、试剂</w:t>
      </w:r>
      <w:r>
        <w:rPr>
          <w:sz w:val="24"/>
        </w:rPr>
        <w:t>、药品，</w:t>
      </w:r>
      <w:r>
        <w:rPr>
          <w:rFonts w:hint="eastAsia"/>
          <w:sz w:val="24"/>
        </w:rPr>
        <w:t>各类通用设备，信息类产品等物资，</w:t>
      </w:r>
      <w:r>
        <w:rPr>
          <w:sz w:val="24"/>
        </w:rPr>
        <w:t>以及</w:t>
      </w:r>
      <w:r>
        <w:rPr>
          <w:rFonts w:hint="eastAsia"/>
          <w:sz w:val="24"/>
        </w:rPr>
        <w:t>医疗设备运维服务、信息化建设服务等服务项目的招标代理全流程服务，包含项目备案、招标方案编制、招标文件编制、公告发布、开评标组织、答疑补遗、评标协助、结果公示、中标通知书发放、档案整理归档及行业主管部门备案等全部相关工作。</w:t>
      </w:r>
    </w:p>
    <w:p w14:paraId="4D27E69F">
      <w:pPr>
        <w:adjustRightInd w:val="0"/>
        <w:snapToGrid w:val="0"/>
        <w:spacing w:line="360" w:lineRule="auto"/>
        <w:rPr>
          <w:rFonts w:ascii="宋体" w:hAnsi="宋体"/>
          <w:b/>
          <w:sz w:val="24"/>
          <w:szCs w:val="24"/>
        </w:rPr>
      </w:pPr>
      <w:r>
        <w:rPr>
          <w:rFonts w:hint="eastAsia" w:ascii="宋体" w:hAnsi="宋体"/>
          <w:b/>
          <w:sz w:val="24"/>
          <w:szCs w:val="24"/>
        </w:rPr>
        <w:t>5.申请人资格</w:t>
      </w:r>
      <w:r>
        <w:rPr>
          <w:rFonts w:ascii="宋体" w:hAnsi="宋体"/>
          <w:b/>
          <w:sz w:val="24"/>
          <w:szCs w:val="24"/>
        </w:rPr>
        <w:t>要求</w:t>
      </w:r>
      <w:bookmarkStart w:id="13" w:name="_Toc181544856"/>
      <w:bookmarkStart w:id="14" w:name="_Toc237405697"/>
    </w:p>
    <w:bookmarkEnd w:id="13"/>
    <w:bookmarkEnd w:id="14"/>
    <w:p w14:paraId="0EC73E27">
      <w:pPr>
        <w:adjustRightInd w:val="0"/>
        <w:snapToGrid w:val="0"/>
        <w:spacing w:line="360" w:lineRule="auto"/>
        <w:rPr>
          <w:rFonts w:ascii="宋体" w:hAnsi="宋体"/>
          <w:bCs/>
          <w:sz w:val="24"/>
          <w:szCs w:val="24"/>
        </w:rPr>
      </w:pPr>
      <w:r>
        <w:rPr>
          <w:rFonts w:hint="eastAsia" w:ascii="宋体" w:hAnsi="宋体"/>
          <w:bCs/>
          <w:sz w:val="24"/>
          <w:szCs w:val="24"/>
        </w:rPr>
        <w:t>5.1在中华人民共和国境内注册，</w:t>
      </w:r>
      <w:r>
        <w:rPr>
          <w:rFonts w:hint="eastAsia" w:ascii="宋体" w:hAnsi="宋体"/>
          <w:bCs/>
          <w:kern w:val="0"/>
          <w:sz w:val="24"/>
          <w:szCs w:val="24"/>
        </w:rPr>
        <w:t>具有符合国家相关法律法规要求的法人资格，</w:t>
      </w:r>
      <w:r>
        <w:rPr>
          <w:rFonts w:hint="eastAsia" w:ascii="宋体" w:hAnsi="宋体"/>
          <w:sz w:val="24"/>
          <w:szCs w:val="24"/>
        </w:rPr>
        <w:t>具有有效营业执照，具有</w:t>
      </w:r>
      <w:r>
        <w:rPr>
          <w:rFonts w:hint="eastAsia" w:ascii="宋体" w:hAnsi="宋体"/>
          <w:bCs/>
          <w:sz w:val="24"/>
          <w:szCs w:val="24"/>
        </w:rPr>
        <w:t>独立承担民事责任的能力。</w:t>
      </w:r>
    </w:p>
    <w:p w14:paraId="0CA81039">
      <w:pPr>
        <w:adjustRightInd w:val="0"/>
        <w:snapToGrid w:val="0"/>
        <w:spacing w:line="360" w:lineRule="auto"/>
        <w:rPr>
          <w:rFonts w:ascii="宋体" w:hAnsi="宋体"/>
          <w:bCs/>
          <w:sz w:val="24"/>
          <w:szCs w:val="24"/>
        </w:rPr>
      </w:pPr>
      <w:r>
        <w:rPr>
          <w:rFonts w:hint="eastAsia" w:ascii="宋体" w:hAnsi="宋体"/>
          <w:bCs/>
          <w:sz w:val="24"/>
          <w:szCs w:val="24"/>
        </w:rPr>
        <w:t>5.2具有良好的商业信誉和健全的财务会计制度。</w:t>
      </w:r>
    </w:p>
    <w:p w14:paraId="26831B13">
      <w:pPr>
        <w:adjustRightInd w:val="0"/>
        <w:snapToGrid w:val="0"/>
        <w:spacing w:line="360" w:lineRule="auto"/>
        <w:rPr>
          <w:rFonts w:ascii="宋体" w:hAnsi="宋体"/>
          <w:bCs/>
          <w:sz w:val="24"/>
          <w:szCs w:val="24"/>
        </w:rPr>
      </w:pPr>
      <w:r>
        <w:rPr>
          <w:rFonts w:hint="eastAsia" w:ascii="宋体" w:hAnsi="宋体"/>
          <w:bCs/>
          <w:sz w:val="24"/>
          <w:szCs w:val="24"/>
        </w:rPr>
        <w:t>5.3具有履行合同所必需的设备和专业技术能力。</w:t>
      </w:r>
    </w:p>
    <w:p w14:paraId="0EB25C81">
      <w:pPr>
        <w:adjustRightInd w:val="0"/>
        <w:snapToGrid w:val="0"/>
        <w:spacing w:line="360" w:lineRule="auto"/>
        <w:rPr>
          <w:rFonts w:ascii="宋体" w:hAnsi="宋体"/>
          <w:bCs/>
          <w:sz w:val="24"/>
          <w:szCs w:val="24"/>
        </w:rPr>
      </w:pPr>
      <w:r>
        <w:rPr>
          <w:rFonts w:hint="eastAsia" w:ascii="宋体" w:hAnsi="宋体"/>
          <w:bCs/>
          <w:sz w:val="24"/>
          <w:szCs w:val="24"/>
        </w:rPr>
        <w:t>5.4具有依法缴纳税收和社会保障资金的良好记录。</w:t>
      </w:r>
    </w:p>
    <w:p w14:paraId="6B9387F8">
      <w:pPr>
        <w:adjustRightInd w:val="0"/>
        <w:snapToGrid w:val="0"/>
        <w:spacing w:line="360" w:lineRule="auto"/>
        <w:rPr>
          <w:rFonts w:ascii="宋体" w:hAnsi="宋体"/>
          <w:bCs/>
          <w:sz w:val="24"/>
          <w:szCs w:val="24"/>
        </w:rPr>
      </w:pPr>
      <w:r>
        <w:rPr>
          <w:rFonts w:hint="eastAsia" w:ascii="宋体" w:hAnsi="宋体"/>
          <w:bCs/>
          <w:sz w:val="24"/>
          <w:szCs w:val="24"/>
        </w:rPr>
        <w:t>5.5参加政府采购活动前三年内（本项目投标截止期前），在经营活动中没有重大违法记录，没有受到过相关主管部门的行政处罚，没有与投标单位串通等行为，没有因服务质量问题引起的诉讼、仲裁情况。</w:t>
      </w:r>
    </w:p>
    <w:p w14:paraId="15D41D66">
      <w:pPr>
        <w:adjustRightInd w:val="0"/>
        <w:snapToGrid w:val="0"/>
        <w:spacing w:line="360" w:lineRule="auto"/>
        <w:rPr>
          <w:rFonts w:ascii="宋体" w:hAnsi="宋体"/>
          <w:bCs/>
          <w:sz w:val="24"/>
          <w:szCs w:val="24"/>
        </w:rPr>
      </w:pPr>
      <w:r>
        <w:rPr>
          <w:rFonts w:hint="eastAsia" w:ascii="宋体" w:hAnsi="宋体"/>
          <w:bCs/>
          <w:sz w:val="24"/>
          <w:szCs w:val="24"/>
        </w:rPr>
        <w:t>5.6申请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p>
    <w:p w14:paraId="05787F8A">
      <w:pPr>
        <w:adjustRightInd w:val="0"/>
        <w:snapToGrid w:val="0"/>
        <w:spacing w:line="360" w:lineRule="auto"/>
        <w:rPr>
          <w:rFonts w:ascii="宋体" w:hAnsi="宋体"/>
          <w:bCs/>
          <w:sz w:val="24"/>
          <w:szCs w:val="24"/>
        </w:rPr>
      </w:pPr>
      <w:r>
        <w:rPr>
          <w:rFonts w:hint="eastAsia" w:ascii="宋体" w:hAnsi="宋体"/>
          <w:bCs/>
          <w:sz w:val="24"/>
          <w:szCs w:val="24"/>
        </w:rPr>
        <w:t>5.7申请人应具有政府采购代理能力，即应是已在《中国政府采购网》或其分网站《北京市政府采购网》登记的代理机构。</w:t>
      </w:r>
    </w:p>
    <w:p w14:paraId="7AC18E6C">
      <w:pPr>
        <w:adjustRightInd w:val="0"/>
        <w:snapToGrid w:val="0"/>
        <w:spacing w:line="360" w:lineRule="auto"/>
        <w:rPr>
          <w:rFonts w:ascii="宋体" w:hAnsi="宋体"/>
          <w:bCs/>
          <w:sz w:val="24"/>
          <w:szCs w:val="24"/>
        </w:rPr>
      </w:pPr>
      <w:r>
        <w:rPr>
          <w:rFonts w:hint="eastAsia" w:ascii="宋体" w:hAnsi="宋体"/>
          <w:bCs/>
          <w:sz w:val="24"/>
          <w:szCs w:val="24"/>
        </w:rPr>
        <w:t>5.8申请人应具有从事机电产品国际招标代理能力，即应是已在《中国国际招标网》登记的代理机构。</w:t>
      </w:r>
    </w:p>
    <w:p w14:paraId="5B350CBB">
      <w:pPr>
        <w:adjustRightInd w:val="0"/>
        <w:snapToGrid w:val="0"/>
        <w:spacing w:line="360" w:lineRule="auto"/>
        <w:rPr>
          <w:rFonts w:ascii="宋体" w:hAnsi="宋体"/>
          <w:bCs/>
          <w:sz w:val="24"/>
          <w:szCs w:val="24"/>
        </w:rPr>
      </w:pPr>
      <w:r>
        <w:rPr>
          <w:rFonts w:hint="eastAsia" w:ascii="宋体" w:hAnsi="宋体"/>
          <w:bCs/>
          <w:sz w:val="24"/>
          <w:szCs w:val="24"/>
        </w:rPr>
        <w:t>5</w:t>
      </w:r>
      <w:r>
        <w:rPr>
          <w:rFonts w:ascii="宋体" w:hAnsi="宋体"/>
          <w:bCs/>
          <w:sz w:val="24"/>
          <w:szCs w:val="24"/>
        </w:rPr>
        <w:t>.9</w:t>
      </w:r>
      <w:r>
        <w:rPr>
          <w:rFonts w:hint="eastAsia" w:ascii="宋体" w:hAnsi="宋体"/>
          <w:bCs/>
          <w:sz w:val="24"/>
          <w:szCs w:val="24"/>
        </w:rPr>
        <w:t>既往在北京协和医院货物类项目采购年度考核中曾被评为“不合格”的招标代理机构不得参加本次遴选。</w:t>
      </w:r>
    </w:p>
    <w:p w14:paraId="6E81B566">
      <w:pPr>
        <w:adjustRightInd w:val="0"/>
        <w:snapToGrid w:val="0"/>
        <w:spacing w:line="360" w:lineRule="auto"/>
        <w:rPr>
          <w:rFonts w:ascii="宋体" w:hAnsi="宋体"/>
          <w:bCs/>
          <w:sz w:val="24"/>
          <w:szCs w:val="24"/>
        </w:rPr>
      </w:pPr>
      <w:r>
        <w:rPr>
          <w:rFonts w:hint="eastAsia" w:ascii="宋体" w:hAnsi="宋体"/>
          <w:bCs/>
          <w:sz w:val="24"/>
          <w:szCs w:val="24"/>
        </w:rPr>
        <w:t>5.</w:t>
      </w:r>
      <w:r>
        <w:rPr>
          <w:rFonts w:ascii="宋体" w:hAnsi="宋体"/>
          <w:bCs/>
          <w:sz w:val="24"/>
          <w:szCs w:val="24"/>
        </w:rPr>
        <w:t>10</w:t>
      </w:r>
      <w:r>
        <w:rPr>
          <w:rFonts w:hint="eastAsia" w:ascii="宋体" w:hAnsi="宋体"/>
          <w:bCs/>
          <w:sz w:val="24"/>
          <w:szCs w:val="24"/>
        </w:rPr>
        <w:t>本项目不接受联合体</w:t>
      </w:r>
      <w:r>
        <w:rPr>
          <w:rFonts w:hint="eastAsia" w:ascii="宋体" w:hAnsi="宋体"/>
          <w:bCs/>
          <w:kern w:val="0"/>
          <w:sz w:val="24"/>
          <w:szCs w:val="24"/>
        </w:rPr>
        <w:t>响</w:t>
      </w:r>
      <w:r>
        <w:rPr>
          <w:rFonts w:ascii="宋体" w:hAnsi="宋体"/>
          <w:bCs/>
          <w:kern w:val="0"/>
          <w:sz w:val="24"/>
          <w:szCs w:val="24"/>
        </w:rPr>
        <w:t>应</w:t>
      </w:r>
      <w:r>
        <w:rPr>
          <w:rFonts w:hint="eastAsia" w:ascii="宋体" w:hAnsi="宋体"/>
          <w:bCs/>
          <w:sz w:val="24"/>
          <w:szCs w:val="24"/>
        </w:rPr>
        <w:t>。</w:t>
      </w:r>
    </w:p>
    <w:p w14:paraId="0119071D">
      <w:pPr>
        <w:adjustRightInd w:val="0"/>
        <w:snapToGrid w:val="0"/>
        <w:spacing w:line="360" w:lineRule="auto"/>
        <w:rPr>
          <w:rFonts w:ascii="宋体" w:hAnsi="宋体"/>
          <w:bCs/>
          <w:sz w:val="24"/>
          <w:szCs w:val="24"/>
        </w:rPr>
      </w:pPr>
      <w:r>
        <w:rPr>
          <w:rFonts w:hint="eastAsia" w:ascii="宋体" w:hAnsi="宋体"/>
          <w:bCs/>
          <w:sz w:val="24"/>
          <w:szCs w:val="24"/>
        </w:rPr>
        <w:t>5.</w:t>
      </w:r>
      <w:r>
        <w:rPr>
          <w:rFonts w:ascii="宋体" w:hAnsi="宋体"/>
          <w:bCs/>
          <w:sz w:val="24"/>
          <w:szCs w:val="24"/>
        </w:rPr>
        <w:t>11</w:t>
      </w:r>
      <w:r>
        <w:rPr>
          <w:rFonts w:hint="eastAsia" w:ascii="宋体" w:hAnsi="宋体"/>
          <w:bCs/>
          <w:sz w:val="24"/>
          <w:szCs w:val="24"/>
        </w:rPr>
        <w:t>符合法律、行政法规规定的其它要求。</w:t>
      </w:r>
    </w:p>
    <w:p w14:paraId="38329D28">
      <w:pPr>
        <w:adjustRightInd w:val="0"/>
        <w:snapToGrid w:val="0"/>
        <w:spacing w:line="360" w:lineRule="auto"/>
        <w:rPr>
          <w:rFonts w:ascii="宋体" w:hAnsi="宋体"/>
          <w:b/>
          <w:sz w:val="24"/>
          <w:szCs w:val="24"/>
        </w:rPr>
      </w:pPr>
      <w:r>
        <w:rPr>
          <w:rFonts w:hint="eastAsia" w:ascii="宋体" w:hAnsi="宋体"/>
          <w:b/>
          <w:sz w:val="24"/>
          <w:szCs w:val="24"/>
        </w:rPr>
        <w:t>6.遴选费用</w:t>
      </w:r>
    </w:p>
    <w:p w14:paraId="08C3D529">
      <w:pPr>
        <w:adjustRightInd w:val="0"/>
        <w:snapToGrid w:val="0"/>
        <w:spacing w:line="360" w:lineRule="auto"/>
        <w:rPr>
          <w:rFonts w:ascii="宋体" w:hAnsi="宋体"/>
          <w:sz w:val="24"/>
          <w:szCs w:val="24"/>
        </w:rPr>
      </w:pPr>
      <w:r>
        <w:rPr>
          <w:rFonts w:hint="eastAsia" w:ascii="宋体" w:hAnsi="宋体"/>
          <w:sz w:val="24"/>
          <w:szCs w:val="24"/>
        </w:rPr>
        <w:t>6.1申请人应承担所有与编写和提交遴选申请文件有关的一切费用，无论遴选过程中的做法和结果如何，遴选人在任何情况下均无义务和责任承担这些费用。</w:t>
      </w:r>
    </w:p>
    <w:p w14:paraId="5BD54BBA">
      <w:pPr>
        <w:numPr>
          <w:ilvl w:val="0"/>
          <w:numId w:val="2"/>
        </w:numPr>
        <w:adjustRightInd w:val="0"/>
        <w:snapToGrid w:val="0"/>
        <w:spacing w:line="360" w:lineRule="auto"/>
        <w:rPr>
          <w:rFonts w:ascii="宋体" w:hAnsi="宋体"/>
          <w:b/>
          <w:sz w:val="24"/>
          <w:szCs w:val="24"/>
        </w:rPr>
      </w:pPr>
      <w:r>
        <w:rPr>
          <w:rFonts w:hint="eastAsia" w:ascii="宋体" w:hAnsi="宋体"/>
          <w:b/>
          <w:sz w:val="24"/>
          <w:szCs w:val="24"/>
        </w:rPr>
        <w:t>申请文件的组成</w:t>
      </w:r>
    </w:p>
    <w:tbl>
      <w:tblPr>
        <w:tblStyle w:val="16"/>
        <w:tblW w:w="0" w:type="auto"/>
        <w:tblInd w:w="94" w:type="dxa"/>
        <w:tblLayout w:type="fixed"/>
        <w:tblCellMar>
          <w:top w:w="0" w:type="dxa"/>
          <w:left w:w="108" w:type="dxa"/>
          <w:bottom w:w="0" w:type="dxa"/>
          <w:right w:w="108" w:type="dxa"/>
        </w:tblCellMar>
      </w:tblPr>
      <w:tblGrid>
        <w:gridCol w:w="1007"/>
        <w:gridCol w:w="4418"/>
        <w:gridCol w:w="1252"/>
        <w:gridCol w:w="1751"/>
      </w:tblGrid>
      <w:tr w14:paraId="6BA5913A">
        <w:tblPrEx>
          <w:tblCellMar>
            <w:top w:w="0" w:type="dxa"/>
            <w:left w:w="108" w:type="dxa"/>
            <w:bottom w:w="0" w:type="dxa"/>
            <w:right w:w="108" w:type="dxa"/>
          </w:tblCellMar>
        </w:tblPrEx>
        <w:trPr>
          <w:trHeight w:val="390" w:hRule="atLeast"/>
        </w:trPr>
        <w:tc>
          <w:tcPr>
            <w:tcW w:w="10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70380">
            <w:pPr>
              <w:widowControl/>
              <w:jc w:val="center"/>
              <w:rPr>
                <w:rFonts w:ascii="宋体" w:hAnsi="宋体" w:cs="宋体"/>
                <w:b/>
                <w:bCs/>
                <w:kern w:val="0"/>
                <w:sz w:val="24"/>
              </w:rPr>
            </w:pPr>
            <w:r>
              <w:rPr>
                <w:rFonts w:hint="eastAsia" w:ascii="宋体" w:hAnsi="宋体" w:cs="宋体"/>
                <w:b/>
                <w:bCs/>
                <w:kern w:val="0"/>
                <w:sz w:val="24"/>
              </w:rPr>
              <w:t>序号</w:t>
            </w:r>
          </w:p>
        </w:tc>
        <w:tc>
          <w:tcPr>
            <w:tcW w:w="4418" w:type="dxa"/>
            <w:tcBorders>
              <w:top w:val="single" w:color="auto" w:sz="4" w:space="0"/>
              <w:left w:val="nil"/>
              <w:bottom w:val="single" w:color="auto" w:sz="4" w:space="0"/>
              <w:right w:val="single" w:color="auto" w:sz="4" w:space="0"/>
            </w:tcBorders>
            <w:shd w:val="clear" w:color="auto" w:fill="auto"/>
            <w:noWrap/>
            <w:vAlign w:val="center"/>
          </w:tcPr>
          <w:p w14:paraId="0DDE12AE">
            <w:pPr>
              <w:widowControl/>
              <w:jc w:val="center"/>
              <w:rPr>
                <w:rFonts w:ascii="宋体" w:hAnsi="宋体" w:cs="宋体"/>
                <w:b/>
                <w:bCs/>
                <w:kern w:val="0"/>
                <w:sz w:val="24"/>
              </w:rPr>
            </w:pPr>
            <w:r>
              <w:rPr>
                <w:rFonts w:hint="eastAsia" w:ascii="宋体" w:hAnsi="宋体" w:cs="宋体"/>
                <w:b/>
                <w:bCs/>
                <w:kern w:val="0"/>
                <w:sz w:val="24"/>
              </w:rPr>
              <w:t>要求</w:t>
            </w:r>
          </w:p>
        </w:tc>
        <w:tc>
          <w:tcPr>
            <w:tcW w:w="1252" w:type="dxa"/>
            <w:tcBorders>
              <w:top w:val="single" w:color="auto" w:sz="4" w:space="0"/>
              <w:left w:val="nil"/>
              <w:bottom w:val="single" w:color="auto" w:sz="4" w:space="0"/>
              <w:right w:val="single" w:color="auto" w:sz="4" w:space="0"/>
            </w:tcBorders>
            <w:shd w:val="clear" w:color="auto" w:fill="auto"/>
            <w:noWrap/>
            <w:vAlign w:val="center"/>
          </w:tcPr>
          <w:p w14:paraId="1B7F5423">
            <w:pPr>
              <w:widowControl/>
              <w:jc w:val="center"/>
              <w:rPr>
                <w:rFonts w:ascii="宋体" w:hAnsi="宋体" w:cs="宋体"/>
                <w:b/>
                <w:bCs/>
                <w:kern w:val="0"/>
                <w:sz w:val="24"/>
              </w:rPr>
            </w:pPr>
            <w:r>
              <w:rPr>
                <w:rFonts w:hint="eastAsia" w:ascii="宋体" w:hAnsi="宋体" w:cs="宋体"/>
                <w:b/>
                <w:bCs/>
                <w:kern w:val="0"/>
                <w:sz w:val="24"/>
              </w:rPr>
              <w:t>应答情况</w:t>
            </w:r>
          </w:p>
          <w:p w14:paraId="7ECB7BA8">
            <w:pPr>
              <w:widowControl/>
              <w:jc w:val="center"/>
              <w:rPr>
                <w:rFonts w:ascii="宋体" w:hAnsi="宋体" w:cs="宋体"/>
                <w:b/>
                <w:bCs/>
                <w:kern w:val="0"/>
                <w:sz w:val="24"/>
              </w:rPr>
            </w:pPr>
          </w:p>
        </w:tc>
        <w:tc>
          <w:tcPr>
            <w:tcW w:w="1751" w:type="dxa"/>
            <w:tcBorders>
              <w:top w:val="single" w:color="auto" w:sz="4" w:space="0"/>
              <w:left w:val="nil"/>
              <w:bottom w:val="single" w:color="auto" w:sz="4" w:space="0"/>
              <w:right w:val="single" w:color="auto" w:sz="4" w:space="0"/>
            </w:tcBorders>
            <w:shd w:val="clear" w:color="auto" w:fill="auto"/>
            <w:noWrap/>
            <w:vAlign w:val="center"/>
          </w:tcPr>
          <w:p w14:paraId="5F53DE08">
            <w:pPr>
              <w:widowControl/>
              <w:jc w:val="center"/>
              <w:rPr>
                <w:rFonts w:ascii="宋体" w:hAnsi="宋体" w:cs="宋体"/>
                <w:b/>
                <w:bCs/>
                <w:kern w:val="0"/>
                <w:sz w:val="24"/>
              </w:rPr>
            </w:pPr>
            <w:r>
              <w:rPr>
                <w:rFonts w:hint="eastAsia" w:ascii="宋体" w:hAnsi="宋体" w:cs="宋体"/>
                <w:b/>
                <w:bCs/>
                <w:kern w:val="0"/>
                <w:sz w:val="24"/>
              </w:rPr>
              <w:t>证明文件</w:t>
            </w:r>
          </w:p>
          <w:p w14:paraId="2F79B871">
            <w:pPr>
              <w:widowControl/>
              <w:jc w:val="center"/>
              <w:rPr>
                <w:rFonts w:ascii="宋体" w:hAnsi="宋体" w:cs="宋体"/>
                <w:b/>
                <w:bCs/>
                <w:kern w:val="0"/>
                <w:sz w:val="24"/>
              </w:rPr>
            </w:pPr>
            <w:r>
              <w:rPr>
                <w:rFonts w:hint="eastAsia" w:ascii="宋体" w:hAnsi="宋体" w:cs="宋体"/>
                <w:b/>
                <w:bCs/>
                <w:kern w:val="0"/>
                <w:sz w:val="24"/>
              </w:rPr>
              <w:t>（如有请标注文件页码并附在应答表后）</w:t>
            </w:r>
          </w:p>
        </w:tc>
      </w:tr>
      <w:tr w14:paraId="4EA108EA">
        <w:tblPrEx>
          <w:tblCellMar>
            <w:top w:w="0" w:type="dxa"/>
            <w:left w:w="108" w:type="dxa"/>
            <w:bottom w:w="0" w:type="dxa"/>
            <w:right w:w="108" w:type="dxa"/>
          </w:tblCellMar>
        </w:tblPrEx>
        <w:trPr>
          <w:trHeight w:val="285"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14:paraId="49C15787">
            <w:pPr>
              <w:widowControl/>
              <w:jc w:val="center"/>
              <w:rPr>
                <w:rFonts w:ascii="宋体" w:hAnsi="宋体" w:cs="宋体"/>
                <w:b/>
                <w:bCs/>
                <w:kern w:val="0"/>
                <w:sz w:val="24"/>
              </w:rPr>
            </w:pPr>
            <w:r>
              <w:rPr>
                <w:rFonts w:ascii="宋体" w:hAnsi="宋体" w:cs="宋体"/>
                <w:b/>
                <w:bCs/>
                <w:kern w:val="0"/>
                <w:sz w:val="24"/>
              </w:rPr>
              <w:t>1</w:t>
            </w:r>
          </w:p>
        </w:tc>
        <w:tc>
          <w:tcPr>
            <w:tcW w:w="4418" w:type="dxa"/>
            <w:tcBorders>
              <w:top w:val="nil"/>
              <w:left w:val="nil"/>
              <w:bottom w:val="single" w:color="auto" w:sz="4" w:space="0"/>
              <w:right w:val="single" w:color="auto" w:sz="4" w:space="0"/>
            </w:tcBorders>
            <w:shd w:val="clear" w:color="auto" w:fill="auto"/>
            <w:noWrap/>
            <w:vAlign w:val="center"/>
          </w:tcPr>
          <w:p w14:paraId="1947C0D2">
            <w:pPr>
              <w:widowControl/>
              <w:jc w:val="left"/>
              <w:rPr>
                <w:rFonts w:ascii="宋体" w:hAnsi="宋体" w:cs="宋体"/>
                <w:kern w:val="0"/>
                <w:sz w:val="24"/>
              </w:rPr>
            </w:pPr>
            <w:r>
              <w:rPr>
                <w:rFonts w:hint="eastAsia" w:ascii="宋体" w:hAnsi="宋体" w:cs="宋体"/>
                <w:kern w:val="0"/>
                <w:sz w:val="24"/>
              </w:rPr>
              <w:t>代理服务费取费标准（须加盖本单位公章）</w:t>
            </w:r>
          </w:p>
        </w:tc>
        <w:tc>
          <w:tcPr>
            <w:tcW w:w="1252" w:type="dxa"/>
            <w:tcBorders>
              <w:top w:val="nil"/>
              <w:left w:val="nil"/>
              <w:bottom w:val="single" w:color="auto" w:sz="4" w:space="0"/>
              <w:right w:val="single" w:color="auto" w:sz="4" w:space="0"/>
            </w:tcBorders>
            <w:shd w:val="clear" w:color="auto" w:fill="auto"/>
            <w:noWrap/>
            <w:vAlign w:val="center"/>
          </w:tcPr>
          <w:p w14:paraId="70BCE58B">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shd w:val="clear" w:color="auto" w:fill="auto"/>
            <w:noWrap/>
            <w:vAlign w:val="center"/>
          </w:tcPr>
          <w:p w14:paraId="19BEFA9D">
            <w:pPr>
              <w:widowControl/>
              <w:jc w:val="left"/>
              <w:rPr>
                <w:rFonts w:ascii="宋体" w:hAnsi="宋体" w:cs="宋体"/>
                <w:kern w:val="0"/>
                <w:sz w:val="24"/>
              </w:rPr>
            </w:pPr>
            <w:r>
              <w:rPr>
                <w:rFonts w:hint="eastAsia" w:ascii="宋体" w:hAnsi="宋体" w:cs="宋体"/>
                <w:kern w:val="0"/>
                <w:sz w:val="24"/>
              </w:rPr>
              <w:t>　</w:t>
            </w:r>
          </w:p>
        </w:tc>
      </w:tr>
      <w:tr w14:paraId="1E8232C6">
        <w:tblPrEx>
          <w:tblCellMar>
            <w:top w:w="0" w:type="dxa"/>
            <w:left w:w="108" w:type="dxa"/>
            <w:bottom w:w="0" w:type="dxa"/>
            <w:right w:w="108" w:type="dxa"/>
          </w:tblCellMar>
        </w:tblPrEx>
        <w:trPr>
          <w:trHeight w:val="285"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14:paraId="12DFD579">
            <w:pPr>
              <w:widowControl/>
              <w:jc w:val="center"/>
              <w:rPr>
                <w:rFonts w:ascii="宋体" w:hAnsi="宋体" w:cs="宋体"/>
                <w:b/>
                <w:bCs/>
                <w:kern w:val="0"/>
                <w:sz w:val="24"/>
              </w:rPr>
            </w:pPr>
            <w:r>
              <w:rPr>
                <w:rFonts w:ascii="宋体" w:hAnsi="宋体" w:cs="宋体"/>
                <w:b/>
                <w:bCs/>
                <w:kern w:val="0"/>
                <w:sz w:val="24"/>
              </w:rPr>
              <w:t>2</w:t>
            </w:r>
          </w:p>
        </w:tc>
        <w:tc>
          <w:tcPr>
            <w:tcW w:w="4418" w:type="dxa"/>
            <w:tcBorders>
              <w:top w:val="nil"/>
              <w:left w:val="nil"/>
              <w:bottom w:val="single" w:color="auto" w:sz="4" w:space="0"/>
              <w:right w:val="single" w:color="auto" w:sz="4" w:space="0"/>
            </w:tcBorders>
            <w:shd w:val="clear" w:color="auto" w:fill="auto"/>
            <w:noWrap/>
            <w:vAlign w:val="center"/>
          </w:tcPr>
          <w:p w14:paraId="300D3BFB">
            <w:pPr>
              <w:widowControl/>
              <w:jc w:val="left"/>
              <w:rPr>
                <w:rFonts w:ascii="宋体" w:hAnsi="宋体" w:cs="宋体"/>
                <w:kern w:val="0"/>
                <w:sz w:val="24"/>
              </w:rPr>
            </w:pPr>
            <w:r>
              <w:rPr>
                <w:rFonts w:hint="eastAsia" w:ascii="宋体" w:hAnsi="宋体" w:cs="宋体"/>
                <w:kern w:val="0"/>
                <w:sz w:val="24"/>
              </w:rPr>
              <w:t>标书售价标准（须加盖本单位公章）</w:t>
            </w:r>
          </w:p>
        </w:tc>
        <w:tc>
          <w:tcPr>
            <w:tcW w:w="1252" w:type="dxa"/>
            <w:tcBorders>
              <w:top w:val="nil"/>
              <w:left w:val="nil"/>
              <w:bottom w:val="single" w:color="auto" w:sz="4" w:space="0"/>
              <w:right w:val="single" w:color="auto" w:sz="4" w:space="0"/>
            </w:tcBorders>
            <w:shd w:val="clear" w:color="auto" w:fill="auto"/>
            <w:noWrap/>
            <w:vAlign w:val="center"/>
          </w:tcPr>
          <w:p w14:paraId="06C2C86E">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shd w:val="clear" w:color="auto" w:fill="auto"/>
            <w:noWrap/>
            <w:vAlign w:val="center"/>
          </w:tcPr>
          <w:p w14:paraId="798FD8EF">
            <w:pPr>
              <w:widowControl/>
              <w:jc w:val="left"/>
              <w:rPr>
                <w:rFonts w:ascii="宋体" w:hAnsi="宋体" w:cs="宋体"/>
                <w:kern w:val="0"/>
                <w:sz w:val="24"/>
              </w:rPr>
            </w:pPr>
            <w:r>
              <w:rPr>
                <w:rFonts w:hint="eastAsia" w:ascii="宋体" w:hAnsi="宋体" w:cs="宋体"/>
                <w:kern w:val="0"/>
                <w:sz w:val="24"/>
              </w:rPr>
              <w:t>　</w:t>
            </w:r>
          </w:p>
        </w:tc>
      </w:tr>
      <w:tr w14:paraId="41FAC403">
        <w:tblPrEx>
          <w:tblCellMar>
            <w:top w:w="0" w:type="dxa"/>
            <w:left w:w="108" w:type="dxa"/>
            <w:bottom w:w="0" w:type="dxa"/>
            <w:right w:w="108" w:type="dxa"/>
          </w:tblCellMar>
        </w:tblPrEx>
        <w:trPr>
          <w:trHeight w:val="285"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14:paraId="03E2A9C7">
            <w:pPr>
              <w:widowControl/>
              <w:jc w:val="center"/>
              <w:rPr>
                <w:rFonts w:ascii="宋体" w:hAnsi="宋体" w:cs="宋体"/>
                <w:b/>
                <w:bCs/>
                <w:kern w:val="0"/>
                <w:sz w:val="24"/>
              </w:rPr>
            </w:pPr>
            <w:r>
              <w:rPr>
                <w:rFonts w:ascii="宋体" w:hAnsi="宋体" w:cs="宋体"/>
                <w:b/>
                <w:bCs/>
                <w:kern w:val="0"/>
                <w:sz w:val="24"/>
              </w:rPr>
              <w:t>3</w:t>
            </w:r>
          </w:p>
        </w:tc>
        <w:tc>
          <w:tcPr>
            <w:tcW w:w="4418" w:type="dxa"/>
            <w:tcBorders>
              <w:top w:val="nil"/>
              <w:left w:val="nil"/>
              <w:bottom w:val="single" w:color="auto" w:sz="4" w:space="0"/>
              <w:right w:val="single" w:color="auto" w:sz="4" w:space="0"/>
            </w:tcBorders>
            <w:shd w:val="clear" w:color="auto" w:fill="auto"/>
            <w:noWrap/>
            <w:vAlign w:val="center"/>
          </w:tcPr>
          <w:p w14:paraId="2997F496">
            <w:pPr>
              <w:widowControl/>
              <w:jc w:val="left"/>
              <w:rPr>
                <w:rFonts w:ascii="宋体" w:hAnsi="宋体" w:cs="宋体"/>
                <w:kern w:val="0"/>
                <w:sz w:val="24"/>
              </w:rPr>
            </w:pPr>
            <w:r>
              <w:rPr>
                <w:rFonts w:hint="eastAsia" w:ascii="宋体" w:hAnsi="宋体" w:cs="宋体"/>
                <w:kern w:val="0"/>
                <w:sz w:val="24"/>
              </w:rPr>
              <w:t>企业概况</w:t>
            </w:r>
          </w:p>
        </w:tc>
        <w:tc>
          <w:tcPr>
            <w:tcW w:w="1252" w:type="dxa"/>
            <w:tcBorders>
              <w:top w:val="nil"/>
              <w:left w:val="nil"/>
              <w:bottom w:val="single" w:color="auto" w:sz="4" w:space="0"/>
              <w:right w:val="single" w:color="auto" w:sz="4" w:space="0"/>
            </w:tcBorders>
            <w:shd w:val="clear" w:color="auto" w:fill="auto"/>
            <w:noWrap/>
            <w:vAlign w:val="center"/>
          </w:tcPr>
          <w:p w14:paraId="458EE84C">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shd w:val="clear" w:color="auto" w:fill="auto"/>
            <w:noWrap/>
            <w:vAlign w:val="center"/>
          </w:tcPr>
          <w:p w14:paraId="1672823B">
            <w:pPr>
              <w:widowControl/>
              <w:jc w:val="left"/>
              <w:rPr>
                <w:rFonts w:ascii="宋体" w:hAnsi="宋体" w:cs="宋体"/>
                <w:kern w:val="0"/>
                <w:sz w:val="24"/>
              </w:rPr>
            </w:pPr>
            <w:r>
              <w:rPr>
                <w:rFonts w:hint="eastAsia" w:ascii="宋体" w:hAnsi="宋体" w:cs="宋体"/>
                <w:kern w:val="0"/>
                <w:sz w:val="24"/>
              </w:rPr>
              <w:t>　</w:t>
            </w:r>
          </w:p>
        </w:tc>
      </w:tr>
      <w:tr w14:paraId="1A6059B8">
        <w:tblPrEx>
          <w:tblCellMar>
            <w:top w:w="0" w:type="dxa"/>
            <w:left w:w="108" w:type="dxa"/>
            <w:bottom w:w="0" w:type="dxa"/>
            <w:right w:w="108" w:type="dxa"/>
          </w:tblCellMar>
        </w:tblPrEx>
        <w:trPr>
          <w:trHeight w:val="285"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14:paraId="4C3E71DE">
            <w:pPr>
              <w:widowControl/>
              <w:jc w:val="center"/>
              <w:rPr>
                <w:rFonts w:ascii="宋体" w:hAnsi="宋体" w:cs="宋体"/>
                <w:b/>
                <w:bCs/>
                <w:kern w:val="0"/>
                <w:sz w:val="24"/>
              </w:rPr>
            </w:pPr>
            <w:r>
              <w:rPr>
                <w:rFonts w:ascii="宋体" w:hAnsi="宋体" w:cs="宋体"/>
                <w:b/>
                <w:bCs/>
                <w:kern w:val="0"/>
                <w:sz w:val="24"/>
              </w:rPr>
              <w:t>4</w:t>
            </w:r>
          </w:p>
        </w:tc>
        <w:tc>
          <w:tcPr>
            <w:tcW w:w="7421" w:type="dxa"/>
            <w:gridSpan w:val="3"/>
            <w:tcBorders>
              <w:top w:val="nil"/>
              <w:left w:val="nil"/>
              <w:bottom w:val="single" w:color="auto" w:sz="4" w:space="0"/>
              <w:right w:val="single" w:color="auto" w:sz="4" w:space="0"/>
            </w:tcBorders>
            <w:shd w:val="clear" w:color="auto" w:fill="auto"/>
            <w:noWrap/>
            <w:vAlign w:val="center"/>
          </w:tcPr>
          <w:p w14:paraId="12A33621">
            <w:pPr>
              <w:widowControl/>
              <w:jc w:val="left"/>
              <w:rPr>
                <w:rFonts w:ascii="宋体" w:hAnsi="宋体" w:cs="宋体"/>
                <w:kern w:val="0"/>
                <w:sz w:val="24"/>
              </w:rPr>
            </w:pPr>
            <w:r>
              <w:rPr>
                <w:rFonts w:hint="eastAsia" w:ascii="宋体" w:hAnsi="宋体" w:cs="宋体"/>
                <w:kern w:val="0"/>
                <w:sz w:val="24"/>
              </w:rPr>
              <w:t>资格条件证明文件</w:t>
            </w:r>
          </w:p>
        </w:tc>
      </w:tr>
      <w:tr w14:paraId="6718412A">
        <w:tblPrEx>
          <w:tblCellMar>
            <w:top w:w="0" w:type="dxa"/>
            <w:left w:w="108" w:type="dxa"/>
            <w:bottom w:w="0" w:type="dxa"/>
            <w:right w:w="108" w:type="dxa"/>
          </w:tblCellMar>
        </w:tblPrEx>
        <w:trPr>
          <w:trHeight w:val="315"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14:paraId="7D5EB77D">
            <w:pPr>
              <w:widowControl/>
              <w:jc w:val="center"/>
              <w:rPr>
                <w:rFonts w:ascii="宋体" w:hAnsi="宋体" w:cs="宋体"/>
                <w:b/>
                <w:bCs/>
                <w:kern w:val="0"/>
                <w:sz w:val="24"/>
              </w:rPr>
            </w:pPr>
            <w:r>
              <w:rPr>
                <w:rFonts w:ascii="宋体" w:hAnsi="宋体" w:cs="宋体"/>
                <w:b/>
                <w:bCs/>
                <w:kern w:val="0"/>
                <w:sz w:val="24"/>
              </w:rPr>
              <w:t>4.1</w:t>
            </w:r>
          </w:p>
        </w:tc>
        <w:tc>
          <w:tcPr>
            <w:tcW w:w="4418" w:type="dxa"/>
            <w:tcBorders>
              <w:top w:val="nil"/>
              <w:left w:val="nil"/>
              <w:bottom w:val="single" w:color="auto" w:sz="4" w:space="0"/>
              <w:right w:val="single" w:color="auto" w:sz="4" w:space="0"/>
            </w:tcBorders>
            <w:shd w:val="clear" w:color="auto" w:fill="auto"/>
            <w:vAlign w:val="center"/>
          </w:tcPr>
          <w:p w14:paraId="35B239D6">
            <w:pPr>
              <w:widowControl/>
              <w:jc w:val="left"/>
              <w:rPr>
                <w:kern w:val="0"/>
                <w:sz w:val="24"/>
              </w:rPr>
            </w:pPr>
            <w:r>
              <w:rPr>
                <w:rFonts w:hint="eastAsia" w:ascii="宋体" w:hAnsi="宋体"/>
                <w:kern w:val="0"/>
                <w:sz w:val="24"/>
              </w:rPr>
              <w:t>营业执照等证明文件复印件（须加盖本单位公章）</w:t>
            </w:r>
          </w:p>
        </w:tc>
        <w:tc>
          <w:tcPr>
            <w:tcW w:w="1252" w:type="dxa"/>
            <w:tcBorders>
              <w:top w:val="nil"/>
              <w:left w:val="nil"/>
              <w:bottom w:val="single" w:color="auto" w:sz="4" w:space="0"/>
              <w:right w:val="single" w:color="auto" w:sz="4" w:space="0"/>
            </w:tcBorders>
            <w:shd w:val="clear" w:color="auto" w:fill="auto"/>
            <w:noWrap/>
            <w:vAlign w:val="center"/>
          </w:tcPr>
          <w:p w14:paraId="1161914D">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shd w:val="clear" w:color="auto" w:fill="auto"/>
            <w:noWrap/>
            <w:vAlign w:val="center"/>
          </w:tcPr>
          <w:p w14:paraId="670FE02E">
            <w:pPr>
              <w:widowControl/>
              <w:jc w:val="left"/>
              <w:rPr>
                <w:rFonts w:ascii="宋体" w:hAnsi="宋体" w:cs="宋体"/>
                <w:kern w:val="0"/>
                <w:sz w:val="24"/>
              </w:rPr>
            </w:pPr>
            <w:r>
              <w:rPr>
                <w:rFonts w:hint="eastAsia" w:ascii="宋体" w:hAnsi="宋体" w:cs="宋体"/>
                <w:kern w:val="0"/>
                <w:sz w:val="24"/>
              </w:rPr>
              <w:t>　</w:t>
            </w:r>
          </w:p>
        </w:tc>
      </w:tr>
      <w:tr w14:paraId="3E828864">
        <w:tblPrEx>
          <w:tblCellMar>
            <w:top w:w="0" w:type="dxa"/>
            <w:left w:w="108" w:type="dxa"/>
            <w:bottom w:w="0" w:type="dxa"/>
            <w:right w:w="108" w:type="dxa"/>
          </w:tblCellMar>
        </w:tblPrEx>
        <w:trPr>
          <w:trHeight w:val="570"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14:paraId="2888DD26">
            <w:pPr>
              <w:widowControl/>
              <w:jc w:val="center"/>
              <w:rPr>
                <w:rFonts w:ascii="宋体" w:hAnsi="宋体" w:cs="宋体"/>
                <w:b/>
                <w:bCs/>
                <w:kern w:val="0"/>
                <w:sz w:val="24"/>
              </w:rPr>
            </w:pPr>
            <w:r>
              <w:rPr>
                <w:rFonts w:ascii="宋体" w:hAnsi="宋体" w:cs="宋体"/>
                <w:b/>
                <w:bCs/>
                <w:kern w:val="0"/>
                <w:sz w:val="24"/>
              </w:rPr>
              <w:t>4.2</w:t>
            </w:r>
          </w:p>
        </w:tc>
        <w:tc>
          <w:tcPr>
            <w:tcW w:w="4418" w:type="dxa"/>
            <w:tcBorders>
              <w:top w:val="nil"/>
              <w:left w:val="nil"/>
              <w:bottom w:val="single" w:color="auto" w:sz="4" w:space="0"/>
              <w:right w:val="single" w:color="auto" w:sz="4" w:space="0"/>
            </w:tcBorders>
            <w:shd w:val="clear" w:color="auto" w:fill="auto"/>
            <w:vAlign w:val="center"/>
          </w:tcPr>
          <w:p w14:paraId="2598BC12">
            <w:pPr>
              <w:widowControl/>
              <w:jc w:val="left"/>
              <w:rPr>
                <w:rFonts w:ascii="宋体" w:hAnsi="宋体" w:cs="宋体"/>
                <w:kern w:val="0"/>
                <w:sz w:val="24"/>
              </w:rPr>
            </w:pPr>
            <w:r>
              <w:rPr>
                <w:rFonts w:hint="eastAsia" w:ascii="宋体" w:hAnsi="宋体" w:cs="宋体"/>
                <w:kern w:val="0"/>
                <w:sz w:val="24"/>
              </w:rPr>
              <w:t>法定代表人授权书原件（须加盖本单位公章、法人签字、被授权人签字）</w:t>
            </w:r>
          </w:p>
        </w:tc>
        <w:tc>
          <w:tcPr>
            <w:tcW w:w="1252" w:type="dxa"/>
            <w:tcBorders>
              <w:top w:val="nil"/>
              <w:left w:val="nil"/>
              <w:bottom w:val="single" w:color="auto" w:sz="4" w:space="0"/>
              <w:right w:val="single" w:color="auto" w:sz="4" w:space="0"/>
            </w:tcBorders>
            <w:shd w:val="clear" w:color="auto" w:fill="auto"/>
            <w:noWrap/>
            <w:vAlign w:val="center"/>
          </w:tcPr>
          <w:p w14:paraId="6F73BA08">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shd w:val="clear" w:color="auto" w:fill="auto"/>
            <w:noWrap/>
            <w:vAlign w:val="center"/>
          </w:tcPr>
          <w:p w14:paraId="45B4A749">
            <w:pPr>
              <w:widowControl/>
              <w:jc w:val="left"/>
              <w:rPr>
                <w:rFonts w:ascii="宋体" w:hAnsi="宋体" w:cs="宋体"/>
                <w:kern w:val="0"/>
                <w:sz w:val="24"/>
              </w:rPr>
            </w:pPr>
            <w:r>
              <w:rPr>
                <w:rFonts w:hint="eastAsia" w:ascii="宋体" w:hAnsi="宋体" w:cs="宋体"/>
                <w:kern w:val="0"/>
                <w:sz w:val="24"/>
              </w:rPr>
              <w:t>　</w:t>
            </w:r>
          </w:p>
        </w:tc>
      </w:tr>
      <w:tr w14:paraId="00509BCE">
        <w:tblPrEx>
          <w:tblCellMar>
            <w:top w:w="0" w:type="dxa"/>
            <w:left w:w="108" w:type="dxa"/>
            <w:bottom w:w="0" w:type="dxa"/>
            <w:right w:w="108" w:type="dxa"/>
          </w:tblCellMar>
        </w:tblPrEx>
        <w:trPr>
          <w:trHeight w:val="315"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14:paraId="30B73B3F">
            <w:pPr>
              <w:widowControl/>
              <w:jc w:val="center"/>
              <w:rPr>
                <w:rFonts w:ascii="宋体" w:hAnsi="宋体" w:cs="宋体"/>
                <w:b/>
                <w:bCs/>
                <w:kern w:val="0"/>
                <w:sz w:val="24"/>
              </w:rPr>
            </w:pPr>
            <w:r>
              <w:rPr>
                <w:rFonts w:ascii="宋体" w:hAnsi="宋体" w:cs="宋体"/>
                <w:b/>
                <w:bCs/>
                <w:kern w:val="0"/>
                <w:sz w:val="24"/>
              </w:rPr>
              <w:t>4.3</w:t>
            </w:r>
          </w:p>
        </w:tc>
        <w:tc>
          <w:tcPr>
            <w:tcW w:w="4418" w:type="dxa"/>
            <w:tcBorders>
              <w:top w:val="nil"/>
              <w:left w:val="nil"/>
              <w:bottom w:val="single" w:color="auto" w:sz="4" w:space="0"/>
              <w:right w:val="single" w:color="auto" w:sz="4" w:space="0"/>
            </w:tcBorders>
            <w:shd w:val="clear" w:color="auto" w:fill="auto"/>
            <w:vAlign w:val="center"/>
          </w:tcPr>
          <w:p w14:paraId="0068AE57">
            <w:pPr>
              <w:widowControl/>
              <w:jc w:val="left"/>
              <w:rPr>
                <w:kern w:val="0"/>
                <w:sz w:val="24"/>
              </w:rPr>
            </w:pPr>
            <w:r>
              <w:rPr>
                <w:rFonts w:hint="eastAsia" w:ascii="宋体" w:hAnsi="宋体"/>
                <w:kern w:val="0"/>
                <w:sz w:val="24"/>
              </w:rPr>
              <w:t>具有</w:t>
            </w:r>
            <w:r>
              <w:rPr>
                <w:kern w:val="0"/>
                <w:sz w:val="24"/>
              </w:rPr>
              <w:t>IOS9001</w:t>
            </w:r>
            <w:r>
              <w:rPr>
                <w:rFonts w:hint="eastAsia" w:ascii="宋体" w:hAnsi="宋体"/>
                <w:kern w:val="0"/>
                <w:sz w:val="24"/>
              </w:rPr>
              <w:t>质量管理体系认证</w:t>
            </w:r>
          </w:p>
        </w:tc>
        <w:tc>
          <w:tcPr>
            <w:tcW w:w="1252" w:type="dxa"/>
            <w:tcBorders>
              <w:top w:val="nil"/>
              <w:left w:val="nil"/>
              <w:bottom w:val="single" w:color="auto" w:sz="4" w:space="0"/>
              <w:right w:val="single" w:color="auto" w:sz="4" w:space="0"/>
            </w:tcBorders>
            <w:shd w:val="clear" w:color="auto" w:fill="auto"/>
            <w:noWrap/>
            <w:vAlign w:val="center"/>
          </w:tcPr>
          <w:p w14:paraId="4AF4F9E6">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shd w:val="clear" w:color="auto" w:fill="auto"/>
            <w:noWrap/>
            <w:vAlign w:val="center"/>
          </w:tcPr>
          <w:p w14:paraId="3323D289">
            <w:pPr>
              <w:widowControl/>
              <w:jc w:val="left"/>
              <w:rPr>
                <w:rFonts w:ascii="宋体" w:hAnsi="宋体" w:cs="宋体"/>
                <w:kern w:val="0"/>
                <w:sz w:val="24"/>
              </w:rPr>
            </w:pPr>
            <w:r>
              <w:rPr>
                <w:rFonts w:hint="eastAsia" w:ascii="宋体" w:hAnsi="宋体" w:cs="宋体"/>
                <w:kern w:val="0"/>
                <w:sz w:val="24"/>
              </w:rPr>
              <w:t>　</w:t>
            </w:r>
          </w:p>
        </w:tc>
      </w:tr>
      <w:tr w14:paraId="2E9FAA2D">
        <w:tblPrEx>
          <w:tblCellMar>
            <w:top w:w="0" w:type="dxa"/>
            <w:left w:w="108" w:type="dxa"/>
            <w:bottom w:w="0" w:type="dxa"/>
            <w:right w:w="108" w:type="dxa"/>
          </w:tblCellMar>
        </w:tblPrEx>
        <w:trPr>
          <w:trHeight w:val="285"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14:paraId="2F75CCA2">
            <w:pPr>
              <w:widowControl/>
              <w:jc w:val="center"/>
              <w:rPr>
                <w:rFonts w:ascii="宋体" w:hAnsi="宋体" w:cs="宋体"/>
                <w:b/>
                <w:bCs/>
                <w:kern w:val="0"/>
                <w:sz w:val="24"/>
              </w:rPr>
            </w:pPr>
            <w:r>
              <w:rPr>
                <w:rFonts w:ascii="宋体" w:hAnsi="宋体" w:cs="宋体"/>
                <w:b/>
                <w:bCs/>
                <w:kern w:val="0"/>
                <w:sz w:val="24"/>
              </w:rPr>
              <w:t>4.4</w:t>
            </w:r>
          </w:p>
        </w:tc>
        <w:tc>
          <w:tcPr>
            <w:tcW w:w="4418" w:type="dxa"/>
            <w:tcBorders>
              <w:top w:val="nil"/>
              <w:left w:val="nil"/>
              <w:bottom w:val="single" w:color="auto" w:sz="4" w:space="0"/>
              <w:right w:val="single" w:color="auto" w:sz="4" w:space="0"/>
            </w:tcBorders>
            <w:shd w:val="clear" w:color="auto" w:fill="auto"/>
            <w:vAlign w:val="center"/>
          </w:tcPr>
          <w:p w14:paraId="377A50C9">
            <w:pPr>
              <w:pStyle w:val="6"/>
              <w:widowControl/>
              <w:rPr>
                <w:rFonts w:ascii="宋体" w:hAnsi="宋体" w:cs="宋体"/>
                <w:kern w:val="0"/>
                <w:sz w:val="24"/>
              </w:rPr>
            </w:pPr>
            <w:r>
              <w:rPr>
                <w:rFonts w:ascii="宋体" w:hAnsi="宋体" w:cs="宋体"/>
                <w:sz w:val="24"/>
                <w:szCs w:val="24"/>
              </w:rPr>
              <w:t>中央投资项目业绩佐证</w:t>
            </w:r>
          </w:p>
        </w:tc>
        <w:tc>
          <w:tcPr>
            <w:tcW w:w="1252" w:type="dxa"/>
            <w:tcBorders>
              <w:top w:val="nil"/>
              <w:left w:val="nil"/>
              <w:bottom w:val="single" w:color="auto" w:sz="4" w:space="0"/>
              <w:right w:val="single" w:color="auto" w:sz="4" w:space="0"/>
            </w:tcBorders>
            <w:shd w:val="clear" w:color="auto" w:fill="auto"/>
            <w:noWrap/>
            <w:vAlign w:val="center"/>
          </w:tcPr>
          <w:p w14:paraId="6780693F">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shd w:val="clear" w:color="auto" w:fill="auto"/>
            <w:noWrap/>
            <w:vAlign w:val="center"/>
          </w:tcPr>
          <w:p w14:paraId="4452915E">
            <w:pPr>
              <w:widowControl/>
              <w:jc w:val="left"/>
              <w:rPr>
                <w:rFonts w:ascii="宋体" w:hAnsi="宋体" w:cs="宋体"/>
                <w:kern w:val="0"/>
                <w:sz w:val="24"/>
              </w:rPr>
            </w:pPr>
            <w:r>
              <w:rPr>
                <w:rFonts w:hint="eastAsia" w:ascii="宋体" w:hAnsi="宋体" w:cs="宋体"/>
                <w:kern w:val="0"/>
                <w:sz w:val="24"/>
              </w:rPr>
              <w:t>　</w:t>
            </w:r>
          </w:p>
        </w:tc>
      </w:tr>
      <w:tr w14:paraId="6EEC5C85">
        <w:tblPrEx>
          <w:tblCellMar>
            <w:top w:w="0" w:type="dxa"/>
            <w:left w:w="108" w:type="dxa"/>
            <w:bottom w:w="0" w:type="dxa"/>
            <w:right w:w="108" w:type="dxa"/>
          </w:tblCellMar>
        </w:tblPrEx>
        <w:trPr>
          <w:trHeight w:val="570"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14:paraId="0837ED5D">
            <w:pPr>
              <w:widowControl/>
              <w:jc w:val="center"/>
              <w:rPr>
                <w:rFonts w:ascii="宋体" w:hAnsi="宋体" w:cs="宋体"/>
                <w:b/>
                <w:bCs/>
                <w:kern w:val="0"/>
                <w:sz w:val="24"/>
              </w:rPr>
            </w:pPr>
            <w:r>
              <w:rPr>
                <w:rFonts w:ascii="宋体" w:hAnsi="宋体" w:cs="宋体"/>
                <w:b/>
                <w:bCs/>
                <w:kern w:val="0"/>
                <w:sz w:val="24"/>
              </w:rPr>
              <w:t>4.</w:t>
            </w:r>
            <w:r>
              <w:rPr>
                <w:rFonts w:hint="eastAsia" w:ascii="宋体" w:hAnsi="宋体" w:cs="宋体"/>
                <w:b/>
                <w:bCs/>
                <w:kern w:val="0"/>
                <w:sz w:val="24"/>
              </w:rPr>
              <w:t>5</w:t>
            </w:r>
          </w:p>
        </w:tc>
        <w:tc>
          <w:tcPr>
            <w:tcW w:w="4418" w:type="dxa"/>
            <w:tcBorders>
              <w:top w:val="nil"/>
              <w:left w:val="nil"/>
              <w:bottom w:val="single" w:color="auto" w:sz="4" w:space="0"/>
              <w:right w:val="single" w:color="auto" w:sz="4" w:space="0"/>
            </w:tcBorders>
            <w:shd w:val="clear" w:color="auto" w:fill="auto"/>
            <w:vAlign w:val="center"/>
          </w:tcPr>
          <w:p w14:paraId="6499BA9C">
            <w:pPr>
              <w:widowControl/>
              <w:jc w:val="left"/>
              <w:rPr>
                <w:rFonts w:ascii="宋体" w:hAnsi="宋体" w:cs="宋体"/>
                <w:kern w:val="0"/>
                <w:sz w:val="24"/>
              </w:rPr>
            </w:pPr>
            <w:r>
              <w:rPr>
                <w:rFonts w:hint="eastAsia" w:ascii="宋体" w:hAnsi="宋体" w:cs="宋体"/>
                <w:kern w:val="0"/>
                <w:sz w:val="24"/>
              </w:rPr>
              <w:t>具有履行合同所必需的设备和专业技术能力：提供具有组织开评标所需场地、摄像设备等证明文件（须加盖本单位公章）</w:t>
            </w:r>
          </w:p>
        </w:tc>
        <w:tc>
          <w:tcPr>
            <w:tcW w:w="1252" w:type="dxa"/>
            <w:tcBorders>
              <w:top w:val="nil"/>
              <w:left w:val="nil"/>
              <w:bottom w:val="single" w:color="auto" w:sz="4" w:space="0"/>
              <w:right w:val="single" w:color="auto" w:sz="4" w:space="0"/>
            </w:tcBorders>
            <w:shd w:val="clear" w:color="auto" w:fill="auto"/>
            <w:noWrap/>
            <w:vAlign w:val="center"/>
          </w:tcPr>
          <w:p w14:paraId="7898EADB">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shd w:val="clear" w:color="auto" w:fill="auto"/>
            <w:noWrap/>
            <w:vAlign w:val="center"/>
          </w:tcPr>
          <w:p w14:paraId="1D76BAE3">
            <w:pPr>
              <w:widowControl/>
              <w:jc w:val="left"/>
              <w:rPr>
                <w:rFonts w:ascii="宋体" w:hAnsi="宋体" w:cs="宋体"/>
                <w:kern w:val="0"/>
                <w:sz w:val="24"/>
              </w:rPr>
            </w:pPr>
            <w:r>
              <w:rPr>
                <w:rFonts w:hint="eastAsia" w:ascii="宋体" w:hAnsi="宋体" w:cs="宋体"/>
                <w:kern w:val="0"/>
                <w:sz w:val="24"/>
              </w:rPr>
              <w:t>　</w:t>
            </w:r>
          </w:p>
        </w:tc>
      </w:tr>
      <w:tr w14:paraId="1F274037">
        <w:tblPrEx>
          <w:tblCellMar>
            <w:top w:w="0" w:type="dxa"/>
            <w:left w:w="108" w:type="dxa"/>
            <w:bottom w:w="0" w:type="dxa"/>
            <w:right w:w="108" w:type="dxa"/>
          </w:tblCellMar>
        </w:tblPrEx>
        <w:trPr>
          <w:trHeight w:val="885"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14:paraId="7CA65425">
            <w:pPr>
              <w:widowControl/>
              <w:jc w:val="center"/>
              <w:rPr>
                <w:rFonts w:ascii="宋体" w:hAnsi="宋体" w:cs="宋体"/>
                <w:b/>
                <w:bCs/>
                <w:kern w:val="0"/>
                <w:sz w:val="24"/>
              </w:rPr>
            </w:pPr>
            <w:r>
              <w:rPr>
                <w:rFonts w:ascii="宋体" w:hAnsi="宋体" w:cs="宋体"/>
                <w:b/>
                <w:bCs/>
                <w:kern w:val="0"/>
                <w:sz w:val="24"/>
              </w:rPr>
              <w:t>4.</w:t>
            </w:r>
            <w:r>
              <w:rPr>
                <w:rFonts w:hint="eastAsia" w:ascii="宋体" w:hAnsi="宋体" w:cs="宋体"/>
                <w:b/>
                <w:bCs/>
                <w:kern w:val="0"/>
                <w:sz w:val="24"/>
              </w:rPr>
              <w:t>6</w:t>
            </w:r>
          </w:p>
        </w:tc>
        <w:tc>
          <w:tcPr>
            <w:tcW w:w="4418" w:type="dxa"/>
            <w:tcBorders>
              <w:top w:val="nil"/>
              <w:left w:val="nil"/>
              <w:bottom w:val="single" w:color="auto" w:sz="4" w:space="0"/>
              <w:right w:val="single" w:color="auto" w:sz="4" w:space="0"/>
            </w:tcBorders>
            <w:shd w:val="clear" w:color="auto" w:fill="auto"/>
            <w:vAlign w:val="center"/>
          </w:tcPr>
          <w:p w14:paraId="13F71D22">
            <w:pPr>
              <w:widowControl/>
              <w:jc w:val="left"/>
              <w:rPr>
                <w:kern w:val="0"/>
                <w:sz w:val="24"/>
              </w:rPr>
            </w:pPr>
            <w:r>
              <w:rPr>
                <w:rFonts w:hint="eastAsia" w:ascii="宋体" w:hAnsi="宋体"/>
                <w:kern w:val="0"/>
                <w:sz w:val="24"/>
              </w:rPr>
              <w:t>具有良好的商业信誉和健全的财务会计制度的证明文件：提供银行资信证明或</w:t>
            </w:r>
            <w:r>
              <w:rPr>
                <w:kern w:val="0"/>
                <w:sz w:val="24"/>
              </w:rPr>
              <w:t>202</w:t>
            </w:r>
            <w:r>
              <w:rPr>
                <w:rFonts w:hint="eastAsia"/>
                <w:kern w:val="0"/>
                <w:sz w:val="24"/>
              </w:rPr>
              <w:t>5</w:t>
            </w:r>
            <w:r>
              <w:rPr>
                <w:rFonts w:hint="eastAsia" w:ascii="宋体" w:hAnsi="宋体"/>
                <w:kern w:val="0"/>
                <w:sz w:val="24"/>
              </w:rPr>
              <w:t>年度会计师事务所出具的审计报告复印件（须加盖本单位公章）</w:t>
            </w:r>
          </w:p>
        </w:tc>
        <w:tc>
          <w:tcPr>
            <w:tcW w:w="1252" w:type="dxa"/>
            <w:tcBorders>
              <w:top w:val="nil"/>
              <w:left w:val="nil"/>
              <w:bottom w:val="single" w:color="auto" w:sz="4" w:space="0"/>
              <w:right w:val="single" w:color="auto" w:sz="4" w:space="0"/>
            </w:tcBorders>
            <w:shd w:val="clear" w:color="auto" w:fill="auto"/>
            <w:noWrap/>
            <w:vAlign w:val="center"/>
          </w:tcPr>
          <w:p w14:paraId="0A25676A">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shd w:val="clear" w:color="auto" w:fill="auto"/>
            <w:noWrap/>
            <w:vAlign w:val="center"/>
          </w:tcPr>
          <w:p w14:paraId="57FCFA9D">
            <w:pPr>
              <w:widowControl/>
              <w:jc w:val="left"/>
              <w:rPr>
                <w:rFonts w:ascii="宋体" w:hAnsi="宋体" w:cs="宋体"/>
                <w:kern w:val="0"/>
                <w:sz w:val="24"/>
              </w:rPr>
            </w:pPr>
            <w:r>
              <w:rPr>
                <w:rFonts w:hint="eastAsia" w:ascii="宋体" w:hAnsi="宋体" w:cs="宋体"/>
                <w:kern w:val="0"/>
                <w:sz w:val="24"/>
              </w:rPr>
              <w:t>　</w:t>
            </w:r>
          </w:p>
        </w:tc>
      </w:tr>
      <w:tr w14:paraId="495D13BA">
        <w:tblPrEx>
          <w:tblCellMar>
            <w:top w:w="0" w:type="dxa"/>
            <w:left w:w="108" w:type="dxa"/>
            <w:bottom w:w="0" w:type="dxa"/>
            <w:right w:w="108" w:type="dxa"/>
          </w:tblCellMar>
        </w:tblPrEx>
        <w:trPr>
          <w:trHeight w:val="600"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14:paraId="3FD73607">
            <w:pPr>
              <w:widowControl/>
              <w:jc w:val="center"/>
              <w:rPr>
                <w:rFonts w:ascii="宋体" w:hAnsi="宋体" w:cs="宋体"/>
                <w:b/>
                <w:bCs/>
                <w:kern w:val="0"/>
                <w:sz w:val="24"/>
              </w:rPr>
            </w:pPr>
            <w:r>
              <w:rPr>
                <w:rFonts w:ascii="宋体" w:hAnsi="宋体" w:cs="宋体"/>
                <w:b/>
                <w:bCs/>
                <w:kern w:val="0"/>
                <w:sz w:val="24"/>
              </w:rPr>
              <w:t>4.</w:t>
            </w:r>
            <w:r>
              <w:rPr>
                <w:rFonts w:hint="eastAsia" w:ascii="宋体" w:hAnsi="宋体" w:cs="宋体"/>
                <w:b/>
                <w:bCs/>
                <w:kern w:val="0"/>
                <w:sz w:val="24"/>
              </w:rPr>
              <w:t>7</w:t>
            </w:r>
          </w:p>
        </w:tc>
        <w:tc>
          <w:tcPr>
            <w:tcW w:w="4418" w:type="dxa"/>
            <w:tcBorders>
              <w:top w:val="nil"/>
              <w:left w:val="nil"/>
              <w:bottom w:val="single" w:color="auto" w:sz="4" w:space="0"/>
              <w:right w:val="single" w:color="auto" w:sz="4" w:space="0"/>
            </w:tcBorders>
            <w:shd w:val="clear" w:color="auto" w:fill="auto"/>
            <w:vAlign w:val="center"/>
          </w:tcPr>
          <w:p w14:paraId="3E407F4A">
            <w:pPr>
              <w:widowControl/>
              <w:jc w:val="left"/>
              <w:rPr>
                <w:kern w:val="0"/>
                <w:sz w:val="24"/>
              </w:rPr>
            </w:pPr>
            <w:r>
              <w:rPr>
                <w:rFonts w:hint="eastAsia" w:ascii="宋体" w:hAnsi="宋体"/>
                <w:kern w:val="0"/>
                <w:sz w:val="24"/>
              </w:rPr>
              <w:t>具有依法缴纳税收和社会保障资金的良好记录：提供近</w:t>
            </w:r>
            <w:r>
              <w:rPr>
                <w:kern w:val="0"/>
                <w:sz w:val="24"/>
              </w:rPr>
              <w:t>6</w:t>
            </w:r>
            <w:r>
              <w:rPr>
                <w:rFonts w:hint="eastAsia" w:ascii="宋体" w:hAnsi="宋体"/>
                <w:kern w:val="0"/>
                <w:sz w:val="24"/>
              </w:rPr>
              <w:t>个月缴纳税收和社保的证明文件（须加盖本单位公章）</w:t>
            </w:r>
          </w:p>
        </w:tc>
        <w:tc>
          <w:tcPr>
            <w:tcW w:w="1252" w:type="dxa"/>
            <w:tcBorders>
              <w:top w:val="nil"/>
              <w:left w:val="nil"/>
              <w:bottom w:val="single" w:color="auto" w:sz="4" w:space="0"/>
              <w:right w:val="single" w:color="auto" w:sz="4" w:space="0"/>
            </w:tcBorders>
            <w:shd w:val="clear" w:color="auto" w:fill="auto"/>
            <w:noWrap/>
            <w:vAlign w:val="center"/>
          </w:tcPr>
          <w:p w14:paraId="4B5FFE11">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shd w:val="clear" w:color="auto" w:fill="auto"/>
            <w:noWrap/>
            <w:vAlign w:val="center"/>
          </w:tcPr>
          <w:p w14:paraId="3CA2B741">
            <w:pPr>
              <w:widowControl/>
              <w:jc w:val="left"/>
              <w:rPr>
                <w:rFonts w:ascii="宋体" w:hAnsi="宋体" w:cs="宋体"/>
                <w:kern w:val="0"/>
                <w:sz w:val="24"/>
              </w:rPr>
            </w:pPr>
            <w:r>
              <w:rPr>
                <w:rFonts w:hint="eastAsia" w:ascii="宋体" w:hAnsi="宋体" w:cs="宋体"/>
                <w:kern w:val="0"/>
                <w:sz w:val="24"/>
              </w:rPr>
              <w:t>　</w:t>
            </w:r>
          </w:p>
        </w:tc>
      </w:tr>
      <w:tr w14:paraId="6FB5C2CE">
        <w:tblPrEx>
          <w:tblCellMar>
            <w:top w:w="0" w:type="dxa"/>
            <w:left w:w="108" w:type="dxa"/>
            <w:bottom w:w="0" w:type="dxa"/>
            <w:right w:w="108" w:type="dxa"/>
          </w:tblCellMar>
        </w:tblPrEx>
        <w:trPr>
          <w:trHeight w:val="600"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14:paraId="12CA9B9E">
            <w:pPr>
              <w:widowControl/>
              <w:jc w:val="center"/>
              <w:rPr>
                <w:rFonts w:ascii="宋体" w:hAnsi="宋体" w:cs="宋体"/>
                <w:b/>
                <w:bCs/>
                <w:kern w:val="0"/>
                <w:sz w:val="24"/>
              </w:rPr>
            </w:pPr>
            <w:r>
              <w:rPr>
                <w:rFonts w:ascii="宋体" w:hAnsi="宋体" w:cs="宋体"/>
                <w:b/>
                <w:bCs/>
                <w:kern w:val="0"/>
                <w:sz w:val="24"/>
              </w:rPr>
              <w:t>4.</w:t>
            </w:r>
            <w:r>
              <w:rPr>
                <w:rFonts w:hint="eastAsia" w:ascii="宋体" w:hAnsi="宋体" w:cs="宋体"/>
                <w:b/>
                <w:bCs/>
                <w:kern w:val="0"/>
                <w:sz w:val="24"/>
              </w:rPr>
              <w:t>8</w:t>
            </w:r>
          </w:p>
        </w:tc>
        <w:tc>
          <w:tcPr>
            <w:tcW w:w="4418" w:type="dxa"/>
            <w:tcBorders>
              <w:top w:val="nil"/>
              <w:left w:val="nil"/>
              <w:bottom w:val="single" w:color="auto" w:sz="4" w:space="0"/>
              <w:right w:val="single" w:color="auto" w:sz="4" w:space="0"/>
            </w:tcBorders>
            <w:shd w:val="clear" w:color="auto" w:fill="auto"/>
            <w:vAlign w:val="center"/>
          </w:tcPr>
          <w:p w14:paraId="01C0B619">
            <w:pPr>
              <w:widowControl/>
              <w:jc w:val="left"/>
              <w:rPr>
                <w:kern w:val="0"/>
                <w:sz w:val="24"/>
              </w:rPr>
            </w:pPr>
            <w:r>
              <w:rPr>
                <w:rFonts w:hint="eastAsia" w:ascii="宋体" w:hAnsi="宋体"/>
                <w:kern w:val="0"/>
                <w:sz w:val="24"/>
              </w:rPr>
              <w:t>提供参加政府采购活动近</w:t>
            </w:r>
            <w:r>
              <w:rPr>
                <w:kern w:val="0"/>
                <w:sz w:val="24"/>
              </w:rPr>
              <w:t>3</w:t>
            </w:r>
            <w:r>
              <w:rPr>
                <w:rFonts w:hint="eastAsia" w:ascii="宋体" w:hAnsi="宋体"/>
                <w:kern w:val="0"/>
                <w:sz w:val="24"/>
              </w:rPr>
              <w:t>年内在经营活动中没有重大违法记录的书面声明（须加盖本单位公章）</w:t>
            </w:r>
          </w:p>
        </w:tc>
        <w:tc>
          <w:tcPr>
            <w:tcW w:w="1252" w:type="dxa"/>
            <w:tcBorders>
              <w:top w:val="nil"/>
              <w:left w:val="nil"/>
              <w:bottom w:val="single" w:color="auto" w:sz="4" w:space="0"/>
              <w:right w:val="single" w:color="auto" w:sz="4" w:space="0"/>
            </w:tcBorders>
            <w:shd w:val="clear" w:color="auto" w:fill="auto"/>
            <w:noWrap/>
            <w:vAlign w:val="center"/>
          </w:tcPr>
          <w:p w14:paraId="59168B50">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shd w:val="clear" w:color="auto" w:fill="auto"/>
            <w:noWrap/>
            <w:vAlign w:val="center"/>
          </w:tcPr>
          <w:p w14:paraId="50EB58AD">
            <w:pPr>
              <w:widowControl/>
              <w:jc w:val="left"/>
              <w:rPr>
                <w:rFonts w:ascii="宋体" w:hAnsi="宋体" w:cs="宋体"/>
                <w:kern w:val="0"/>
                <w:sz w:val="24"/>
              </w:rPr>
            </w:pPr>
            <w:r>
              <w:rPr>
                <w:rFonts w:hint="eastAsia" w:ascii="宋体" w:hAnsi="宋体" w:cs="宋体"/>
                <w:kern w:val="0"/>
                <w:sz w:val="24"/>
              </w:rPr>
              <w:t>　</w:t>
            </w:r>
          </w:p>
        </w:tc>
      </w:tr>
      <w:tr w14:paraId="1D8B6E00">
        <w:tblPrEx>
          <w:tblCellMar>
            <w:top w:w="0" w:type="dxa"/>
            <w:left w:w="108" w:type="dxa"/>
            <w:bottom w:w="0" w:type="dxa"/>
            <w:right w:w="108" w:type="dxa"/>
          </w:tblCellMar>
        </w:tblPrEx>
        <w:trPr>
          <w:trHeight w:val="855"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14:paraId="2AFF507F">
            <w:pPr>
              <w:widowControl/>
              <w:jc w:val="center"/>
              <w:rPr>
                <w:rFonts w:ascii="宋体" w:hAnsi="宋体" w:cs="宋体"/>
                <w:b/>
                <w:bCs/>
                <w:kern w:val="0"/>
                <w:sz w:val="24"/>
              </w:rPr>
            </w:pPr>
            <w:r>
              <w:rPr>
                <w:rFonts w:ascii="宋体" w:hAnsi="宋体" w:cs="宋体"/>
                <w:b/>
                <w:bCs/>
                <w:kern w:val="0"/>
                <w:sz w:val="24"/>
              </w:rPr>
              <w:t>4.</w:t>
            </w:r>
            <w:r>
              <w:rPr>
                <w:rFonts w:hint="eastAsia" w:ascii="宋体" w:hAnsi="宋体" w:cs="宋体"/>
                <w:b/>
                <w:bCs/>
                <w:kern w:val="0"/>
                <w:sz w:val="24"/>
              </w:rPr>
              <w:t>9</w:t>
            </w:r>
          </w:p>
        </w:tc>
        <w:tc>
          <w:tcPr>
            <w:tcW w:w="4418" w:type="dxa"/>
            <w:tcBorders>
              <w:top w:val="nil"/>
              <w:left w:val="nil"/>
              <w:bottom w:val="single" w:color="auto" w:sz="4" w:space="0"/>
              <w:right w:val="single" w:color="auto" w:sz="4" w:space="0"/>
            </w:tcBorders>
            <w:shd w:val="clear" w:color="auto" w:fill="auto"/>
            <w:vAlign w:val="center"/>
          </w:tcPr>
          <w:p w14:paraId="1FBFF520">
            <w:pPr>
              <w:widowControl/>
              <w:jc w:val="left"/>
              <w:rPr>
                <w:rFonts w:ascii="宋体" w:hAnsi="宋体" w:cs="宋体"/>
                <w:kern w:val="0"/>
                <w:sz w:val="24"/>
              </w:rPr>
            </w:pPr>
            <w:r>
              <w:rPr>
                <w:rFonts w:hint="eastAsia" w:ascii="宋体" w:hAnsi="宋体" w:cs="宋体"/>
                <w:kern w:val="0"/>
                <w:sz w:val="24"/>
              </w:rPr>
              <w:t>具有政府采购代理能力，即应是已在《中国政府采购网》或其分网站《北京市政府采购网》登记的代理机构：提供截图（须加盖本单位公章）</w:t>
            </w:r>
          </w:p>
        </w:tc>
        <w:tc>
          <w:tcPr>
            <w:tcW w:w="1252" w:type="dxa"/>
            <w:tcBorders>
              <w:top w:val="nil"/>
              <w:left w:val="nil"/>
              <w:bottom w:val="single" w:color="auto" w:sz="4" w:space="0"/>
              <w:right w:val="single" w:color="auto" w:sz="4" w:space="0"/>
            </w:tcBorders>
            <w:shd w:val="clear" w:color="auto" w:fill="auto"/>
            <w:noWrap/>
            <w:vAlign w:val="center"/>
          </w:tcPr>
          <w:p w14:paraId="222B9010">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shd w:val="clear" w:color="auto" w:fill="auto"/>
            <w:noWrap/>
            <w:vAlign w:val="center"/>
          </w:tcPr>
          <w:p w14:paraId="7C427B91">
            <w:pPr>
              <w:widowControl/>
              <w:jc w:val="left"/>
              <w:rPr>
                <w:rFonts w:ascii="宋体" w:hAnsi="宋体" w:cs="宋体"/>
                <w:kern w:val="0"/>
                <w:sz w:val="24"/>
              </w:rPr>
            </w:pPr>
            <w:r>
              <w:rPr>
                <w:rFonts w:hint="eastAsia" w:ascii="宋体" w:hAnsi="宋体" w:cs="宋体"/>
                <w:kern w:val="0"/>
                <w:sz w:val="24"/>
              </w:rPr>
              <w:t>　</w:t>
            </w:r>
          </w:p>
        </w:tc>
      </w:tr>
      <w:tr w14:paraId="4C5644E6">
        <w:tblPrEx>
          <w:tblCellMar>
            <w:top w:w="0" w:type="dxa"/>
            <w:left w:w="108" w:type="dxa"/>
            <w:bottom w:w="0" w:type="dxa"/>
            <w:right w:w="108" w:type="dxa"/>
          </w:tblCellMar>
        </w:tblPrEx>
        <w:trPr>
          <w:trHeight w:val="570"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14:paraId="0907C773">
            <w:pPr>
              <w:widowControl/>
              <w:jc w:val="center"/>
              <w:rPr>
                <w:rFonts w:ascii="宋体" w:hAnsi="宋体" w:cs="宋体"/>
                <w:b/>
                <w:bCs/>
                <w:kern w:val="0"/>
                <w:sz w:val="24"/>
              </w:rPr>
            </w:pPr>
            <w:r>
              <w:rPr>
                <w:rFonts w:ascii="宋体" w:hAnsi="宋体" w:cs="宋体"/>
                <w:b/>
                <w:bCs/>
                <w:kern w:val="0"/>
                <w:sz w:val="24"/>
              </w:rPr>
              <w:t>4.</w:t>
            </w:r>
            <w:r>
              <w:rPr>
                <w:rFonts w:hint="eastAsia" w:ascii="宋体" w:hAnsi="宋体" w:cs="宋体"/>
                <w:b/>
                <w:bCs/>
                <w:kern w:val="0"/>
                <w:sz w:val="24"/>
              </w:rPr>
              <w:t>10</w:t>
            </w:r>
          </w:p>
        </w:tc>
        <w:tc>
          <w:tcPr>
            <w:tcW w:w="4418" w:type="dxa"/>
            <w:tcBorders>
              <w:top w:val="nil"/>
              <w:left w:val="nil"/>
              <w:bottom w:val="single" w:color="auto" w:sz="4" w:space="0"/>
              <w:right w:val="single" w:color="auto" w:sz="4" w:space="0"/>
            </w:tcBorders>
            <w:shd w:val="clear" w:color="auto" w:fill="auto"/>
            <w:vAlign w:val="center"/>
          </w:tcPr>
          <w:p w14:paraId="0A7B4B44">
            <w:pPr>
              <w:widowControl/>
              <w:jc w:val="left"/>
              <w:rPr>
                <w:rFonts w:ascii="宋体" w:hAnsi="宋体" w:cs="宋体"/>
                <w:kern w:val="0"/>
                <w:sz w:val="24"/>
              </w:rPr>
            </w:pPr>
            <w:r>
              <w:rPr>
                <w:rFonts w:hint="eastAsia" w:ascii="宋体" w:hAnsi="宋体" w:cs="宋体"/>
                <w:kern w:val="0"/>
                <w:sz w:val="24"/>
              </w:rPr>
              <w:t>具有从事机电产品国际招标代理能力，即应是已在《中国国际招标网》登记的代理机构：提供截图（须加盖本单位公章）</w:t>
            </w:r>
          </w:p>
        </w:tc>
        <w:tc>
          <w:tcPr>
            <w:tcW w:w="1252" w:type="dxa"/>
            <w:tcBorders>
              <w:top w:val="nil"/>
              <w:left w:val="nil"/>
              <w:bottom w:val="single" w:color="auto" w:sz="4" w:space="0"/>
              <w:right w:val="single" w:color="auto" w:sz="4" w:space="0"/>
            </w:tcBorders>
            <w:shd w:val="clear" w:color="auto" w:fill="auto"/>
            <w:noWrap/>
            <w:vAlign w:val="center"/>
          </w:tcPr>
          <w:p w14:paraId="370323EE">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shd w:val="clear" w:color="auto" w:fill="auto"/>
            <w:noWrap/>
            <w:vAlign w:val="center"/>
          </w:tcPr>
          <w:p w14:paraId="0E862C18">
            <w:pPr>
              <w:widowControl/>
              <w:jc w:val="left"/>
              <w:rPr>
                <w:rFonts w:ascii="宋体" w:hAnsi="宋体" w:cs="宋体"/>
                <w:kern w:val="0"/>
                <w:sz w:val="24"/>
              </w:rPr>
            </w:pPr>
            <w:r>
              <w:rPr>
                <w:rFonts w:hint="eastAsia" w:ascii="宋体" w:hAnsi="宋体" w:cs="宋体"/>
                <w:kern w:val="0"/>
                <w:sz w:val="24"/>
              </w:rPr>
              <w:t>　</w:t>
            </w:r>
          </w:p>
        </w:tc>
      </w:tr>
      <w:tr w14:paraId="38AA0369">
        <w:tblPrEx>
          <w:tblCellMar>
            <w:top w:w="0" w:type="dxa"/>
            <w:left w:w="108" w:type="dxa"/>
            <w:bottom w:w="0" w:type="dxa"/>
            <w:right w:w="108" w:type="dxa"/>
          </w:tblCellMar>
        </w:tblPrEx>
        <w:trPr>
          <w:trHeight w:val="570"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14:paraId="249DFD87">
            <w:pPr>
              <w:widowControl/>
              <w:jc w:val="center"/>
              <w:rPr>
                <w:rFonts w:ascii="宋体" w:hAnsi="宋体" w:cs="宋体"/>
                <w:b/>
                <w:bCs/>
                <w:kern w:val="0"/>
                <w:sz w:val="24"/>
              </w:rPr>
            </w:pPr>
            <w:r>
              <w:rPr>
                <w:rFonts w:hint="eastAsia" w:ascii="宋体" w:hAnsi="宋体" w:cs="宋体"/>
                <w:b/>
                <w:bCs/>
                <w:kern w:val="0"/>
                <w:sz w:val="24"/>
              </w:rPr>
              <w:t>4.11</w:t>
            </w:r>
          </w:p>
        </w:tc>
        <w:tc>
          <w:tcPr>
            <w:tcW w:w="4418" w:type="dxa"/>
            <w:tcBorders>
              <w:top w:val="nil"/>
              <w:left w:val="nil"/>
              <w:bottom w:val="single" w:color="auto" w:sz="4" w:space="0"/>
              <w:right w:val="single" w:color="auto" w:sz="4" w:space="0"/>
            </w:tcBorders>
            <w:shd w:val="clear" w:color="auto" w:fill="auto"/>
            <w:vAlign w:val="center"/>
          </w:tcPr>
          <w:p w14:paraId="5C13F2F1">
            <w:pPr>
              <w:widowControl/>
              <w:jc w:val="left"/>
              <w:rPr>
                <w:rFonts w:ascii="宋体" w:hAnsi="宋体" w:cs="宋体"/>
                <w:kern w:val="0"/>
                <w:sz w:val="24"/>
              </w:rPr>
            </w:pPr>
            <w:r>
              <w:rPr>
                <w:rFonts w:hint="eastAsia" w:ascii="宋体" w:hAnsi="宋体" w:cs="宋体"/>
                <w:kern w:val="0"/>
                <w:sz w:val="24"/>
              </w:rPr>
              <w:t>具有进出口企业资格</w:t>
            </w:r>
          </w:p>
        </w:tc>
        <w:tc>
          <w:tcPr>
            <w:tcW w:w="1252" w:type="dxa"/>
            <w:tcBorders>
              <w:top w:val="nil"/>
              <w:left w:val="nil"/>
              <w:bottom w:val="single" w:color="auto" w:sz="4" w:space="0"/>
              <w:right w:val="single" w:color="auto" w:sz="4" w:space="0"/>
            </w:tcBorders>
            <w:shd w:val="clear" w:color="auto" w:fill="auto"/>
            <w:noWrap/>
            <w:vAlign w:val="center"/>
          </w:tcPr>
          <w:p w14:paraId="045BEBA9">
            <w:pPr>
              <w:widowControl/>
              <w:jc w:val="left"/>
              <w:rPr>
                <w:rFonts w:ascii="宋体" w:hAnsi="宋体" w:cs="宋体"/>
                <w:kern w:val="0"/>
                <w:sz w:val="24"/>
              </w:rPr>
            </w:pPr>
          </w:p>
        </w:tc>
        <w:tc>
          <w:tcPr>
            <w:tcW w:w="1751" w:type="dxa"/>
            <w:tcBorders>
              <w:top w:val="nil"/>
              <w:left w:val="nil"/>
              <w:bottom w:val="single" w:color="auto" w:sz="4" w:space="0"/>
              <w:right w:val="single" w:color="auto" w:sz="4" w:space="0"/>
            </w:tcBorders>
            <w:shd w:val="clear" w:color="auto" w:fill="auto"/>
            <w:noWrap/>
            <w:vAlign w:val="center"/>
          </w:tcPr>
          <w:p w14:paraId="556C5948">
            <w:pPr>
              <w:widowControl/>
              <w:jc w:val="left"/>
              <w:rPr>
                <w:rFonts w:ascii="宋体" w:hAnsi="宋体" w:cs="宋体"/>
                <w:kern w:val="0"/>
                <w:sz w:val="24"/>
              </w:rPr>
            </w:pPr>
          </w:p>
        </w:tc>
      </w:tr>
      <w:tr w14:paraId="34A2DCC4">
        <w:tblPrEx>
          <w:tblCellMar>
            <w:top w:w="0" w:type="dxa"/>
            <w:left w:w="108" w:type="dxa"/>
            <w:bottom w:w="0" w:type="dxa"/>
            <w:right w:w="108" w:type="dxa"/>
          </w:tblCellMar>
        </w:tblPrEx>
        <w:trPr>
          <w:trHeight w:val="520"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14:paraId="6D51AE54">
            <w:pPr>
              <w:widowControl/>
              <w:jc w:val="center"/>
              <w:rPr>
                <w:rFonts w:ascii="宋体" w:hAnsi="宋体" w:cs="宋体"/>
                <w:b/>
                <w:bCs/>
                <w:kern w:val="0"/>
                <w:sz w:val="24"/>
              </w:rPr>
            </w:pPr>
            <w:r>
              <w:rPr>
                <w:rFonts w:ascii="宋体" w:hAnsi="宋体" w:cs="宋体"/>
                <w:b/>
                <w:bCs/>
                <w:kern w:val="0"/>
                <w:sz w:val="24"/>
              </w:rPr>
              <w:t>5</w:t>
            </w:r>
          </w:p>
        </w:tc>
        <w:tc>
          <w:tcPr>
            <w:tcW w:w="7421" w:type="dxa"/>
            <w:gridSpan w:val="3"/>
            <w:tcBorders>
              <w:top w:val="nil"/>
              <w:left w:val="nil"/>
              <w:bottom w:val="single" w:color="auto" w:sz="4" w:space="0"/>
              <w:right w:val="single" w:color="auto" w:sz="4" w:space="0"/>
            </w:tcBorders>
            <w:shd w:val="clear" w:color="auto" w:fill="auto"/>
            <w:vAlign w:val="center"/>
          </w:tcPr>
          <w:p w14:paraId="7199CEE3">
            <w:pPr>
              <w:widowControl/>
              <w:jc w:val="left"/>
              <w:rPr>
                <w:rFonts w:ascii="宋体" w:hAnsi="宋体" w:cs="宋体"/>
                <w:kern w:val="0"/>
                <w:sz w:val="24"/>
              </w:rPr>
            </w:pPr>
            <w:r>
              <w:rPr>
                <w:rFonts w:hint="eastAsia" w:ascii="宋体" w:hAnsi="宋体" w:cs="宋体"/>
                <w:kern w:val="0"/>
                <w:sz w:val="24"/>
              </w:rPr>
              <w:t>业绩情况：</w:t>
            </w:r>
          </w:p>
        </w:tc>
      </w:tr>
      <w:tr w14:paraId="2DC301EF">
        <w:tblPrEx>
          <w:tblCellMar>
            <w:top w:w="0" w:type="dxa"/>
            <w:left w:w="108" w:type="dxa"/>
            <w:bottom w:w="0" w:type="dxa"/>
            <w:right w:w="108" w:type="dxa"/>
          </w:tblCellMar>
        </w:tblPrEx>
        <w:trPr>
          <w:trHeight w:val="1455"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14:paraId="66FC203F">
            <w:pPr>
              <w:widowControl/>
              <w:jc w:val="center"/>
              <w:rPr>
                <w:rFonts w:ascii="宋体" w:hAnsi="宋体" w:cs="宋体"/>
                <w:b/>
                <w:bCs/>
                <w:kern w:val="0"/>
                <w:sz w:val="24"/>
              </w:rPr>
            </w:pPr>
            <w:r>
              <w:rPr>
                <w:rFonts w:ascii="宋体" w:hAnsi="宋体" w:cs="宋体"/>
                <w:b/>
                <w:bCs/>
                <w:kern w:val="0"/>
                <w:sz w:val="24"/>
              </w:rPr>
              <w:t>5.1</w:t>
            </w:r>
          </w:p>
        </w:tc>
        <w:tc>
          <w:tcPr>
            <w:tcW w:w="4418" w:type="dxa"/>
            <w:tcBorders>
              <w:top w:val="nil"/>
              <w:left w:val="nil"/>
              <w:bottom w:val="single" w:color="auto" w:sz="4" w:space="0"/>
              <w:right w:val="single" w:color="auto" w:sz="4" w:space="0"/>
            </w:tcBorders>
            <w:shd w:val="clear" w:color="auto" w:fill="auto"/>
            <w:vAlign w:val="center"/>
          </w:tcPr>
          <w:p w14:paraId="716DF0F1">
            <w:pPr>
              <w:widowControl/>
              <w:jc w:val="left"/>
              <w:rPr>
                <w:kern w:val="0"/>
                <w:sz w:val="24"/>
              </w:rPr>
            </w:pPr>
            <w:r>
              <w:rPr>
                <w:rFonts w:hint="eastAsia" w:ascii="宋体" w:hAnsi="宋体"/>
                <w:kern w:val="0"/>
                <w:sz w:val="24"/>
              </w:rPr>
              <w:t>申请人需提供</w:t>
            </w:r>
            <w:r>
              <w:rPr>
                <w:rFonts w:hint="eastAsia"/>
                <w:kern w:val="0"/>
                <w:sz w:val="24"/>
              </w:rPr>
              <w:t>近三年</w:t>
            </w:r>
            <w:r>
              <w:rPr>
                <w:rFonts w:hint="eastAsia" w:ascii="宋体" w:hAnsi="宋体"/>
                <w:kern w:val="0"/>
                <w:sz w:val="24"/>
              </w:rPr>
              <w:t>三甲医院招标代理情况清单（需按照年份提供），同时需提供委托代理协议或中标通知书等证明材料（申请人至少提供与每家三级甲等医院签署的委托代理协议一份，每份委托代理协议需至少附首页、签字页复印件）；</w:t>
            </w:r>
          </w:p>
        </w:tc>
        <w:tc>
          <w:tcPr>
            <w:tcW w:w="1252" w:type="dxa"/>
            <w:tcBorders>
              <w:top w:val="nil"/>
              <w:left w:val="nil"/>
              <w:bottom w:val="single" w:color="auto" w:sz="4" w:space="0"/>
              <w:right w:val="single" w:color="auto" w:sz="4" w:space="0"/>
            </w:tcBorders>
            <w:shd w:val="clear" w:color="auto" w:fill="auto"/>
            <w:noWrap/>
            <w:vAlign w:val="center"/>
          </w:tcPr>
          <w:p w14:paraId="21C14883">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shd w:val="clear" w:color="auto" w:fill="auto"/>
            <w:noWrap/>
            <w:vAlign w:val="center"/>
          </w:tcPr>
          <w:p w14:paraId="0F077FEB">
            <w:pPr>
              <w:widowControl/>
              <w:jc w:val="left"/>
              <w:rPr>
                <w:rFonts w:ascii="宋体" w:hAnsi="宋体" w:cs="宋体"/>
                <w:kern w:val="0"/>
                <w:sz w:val="24"/>
              </w:rPr>
            </w:pPr>
            <w:r>
              <w:rPr>
                <w:rFonts w:hint="eastAsia" w:ascii="宋体" w:hAnsi="宋体" w:cs="宋体"/>
                <w:kern w:val="0"/>
                <w:sz w:val="24"/>
              </w:rPr>
              <w:t>　</w:t>
            </w:r>
          </w:p>
        </w:tc>
      </w:tr>
      <w:tr w14:paraId="193C75DE">
        <w:tblPrEx>
          <w:tblCellMar>
            <w:top w:w="0" w:type="dxa"/>
            <w:left w:w="108" w:type="dxa"/>
            <w:bottom w:w="0" w:type="dxa"/>
            <w:right w:w="108" w:type="dxa"/>
          </w:tblCellMar>
        </w:tblPrEx>
        <w:trPr>
          <w:trHeight w:val="3261"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14:paraId="2D2E0411">
            <w:pPr>
              <w:widowControl/>
              <w:jc w:val="center"/>
              <w:rPr>
                <w:rFonts w:ascii="宋体" w:hAnsi="宋体" w:cs="宋体"/>
                <w:b/>
                <w:bCs/>
                <w:kern w:val="0"/>
                <w:sz w:val="24"/>
              </w:rPr>
            </w:pPr>
            <w:r>
              <w:rPr>
                <w:rFonts w:ascii="宋体" w:hAnsi="宋体" w:cs="宋体"/>
                <w:b/>
                <w:bCs/>
                <w:kern w:val="0"/>
                <w:sz w:val="24"/>
              </w:rPr>
              <w:t>5.2　</w:t>
            </w:r>
          </w:p>
        </w:tc>
        <w:tc>
          <w:tcPr>
            <w:tcW w:w="7421" w:type="dxa"/>
            <w:gridSpan w:val="3"/>
            <w:tcBorders>
              <w:top w:val="nil"/>
              <w:left w:val="nil"/>
              <w:bottom w:val="single" w:color="auto" w:sz="4" w:space="0"/>
              <w:right w:val="single" w:color="auto" w:sz="4" w:space="0"/>
            </w:tcBorders>
            <w:shd w:val="clear" w:color="auto" w:fill="auto"/>
            <w:vAlign w:val="center"/>
          </w:tcPr>
          <w:p w14:paraId="595EDCA3">
            <w:pPr>
              <w:widowControl/>
              <w:jc w:val="left"/>
              <w:rPr>
                <w:rFonts w:ascii="宋体" w:hAnsi="宋体" w:cs="宋体"/>
                <w:kern w:val="0"/>
                <w:sz w:val="24"/>
              </w:rPr>
            </w:pPr>
            <w:r>
              <w:rPr>
                <w:rFonts w:hint="eastAsia" w:ascii="宋体" w:hAnsi="宋体" w:cs="宋体"/>
                <w:kern w:val="0"/>
                <w:sz w:val="24"/>
              </w:rPr>
              <w:t>　清单参考格式</w:t>
            </w:r>
          </w:p>
          <w:tbl>
            <w:tblPr>
              <w:tblStyle w:val="16"/>
              <w:tblW w:w="7204" w:type="dxa"/>
              <w:tblInd w:w="0" w:type="dxa"/>
              <w:tblLayout w:type="fixed"/>
              <w:tblCellMar>
                <w:top w:w="0" w:type="dxa"/>
                <w:left w:w="108" w:type="dxa"/>
                <w:bottom w:w="0" w:type="dxa"/>
                <w:right w:w="108" w:type="dxa"/>
              </w:tblCellMar>
            </w:tblPr>
            <w:tblGrid>
              <w:gridCol w:w="1124"/>
              <w:gridCol w:w="1130"/>
              <w:gridCol w:w="1650"/>
              <w:gridCol w:w="1650"/>
              <w:gridCol w:w="1650"/>
            </w:tblGrid>
            <w:tr w14:paraId="698E18F4">
              <w:tblPrEx>
                <w:tblCellMar>
                  <w:top w:w="0" w:type="dxa"/>
                  <w:left w:w="108" w:type="dxa"/>
                  <w:bottom w:w="0" w:type="dxa"/>
                  <w:right w:w="108" w:type="dxa"/>
                </w:tblCellMar>
              </w:tblPrEx>
              <w:trPr>
                <w:trHeight w:val="257" w:hRule="atLeast"/>
              </w:trPr>
              <w:tc>
                <w:tcPr>
                  <w:tcW w:w="700" w:type="pct"/>
                  <w:tcBorders>
                    <w:top w:val="single" w:color="auto" w:sz="4" w:space="0"/>
                    <w:left w:val="single" w:color="auto" w:sz="4" w:space="0"/>
                    <w:bottom w:val="single" w:color="auto" w:sz="4" w:space="0"/>
                    <w:right w:val="single" w:color="auto" w:sz="4" w:space="0"/>
                  </w:tcBorders>
                  <w:noWrap/>
                  <w:vAlign w:val="center"/>
                </w:tcPr>
                <w:p w14:paraId="2089AD0E">
                  <w:pPr>
                    <w:widowControl/>
                    <w:jc w:val="center"/>
                    <w:rPr>
                      <w:rFonts w:ascii="宋体" w:hAnsi="宋体" w:cs="宋体"/>
                      <w:kern w:val="0"/>
                      <w:sz w:val="22"/>
                      <w:szCs w:val="22"/>
                    </w:rPr>
                  </w:pPr>
                  <w:r>
                    <w:rPr>
                      <w:rFonts w:hint="eastAsia" w:ascii="宋体" w:hAnsi="宋体" w:cs="宋体"/>
                      <w:kern w:val="0"/>
                      <w:sz w:val="22"/>
                      <w:szCs w:val="22"/>
                    </w:rPr>
                    <w:t>序号</w:t>
                  </w:r>
                </w:p>
              </w:tc>
              <w:tc>
                <w:tcPr>
                  <w:tcW w:w="703" w:type="pct"/>
                  <w:tcBorders>
                    <w:top w:val="single" w:color="auto" w:sz="4" w:space="0"/>
                    <w:left w:val="nil"/>
                    <w:bottom w:val="single" w:color="auto" w:sz="4" w:space="0"/>
                    <w:right w:val="single" w:color="auto" w:sz="4" w:space="0"/>
                  </w:tcBorders>
                  <w:noWrap/>
                  <w:vAlign w:val="center"/>
                </w:tcPr>
                <w:p w14:paraId="1AEBE774">
                  <w:pPr>
                    <w:widowControl/>
                    <w:jc w:val="center"/>
                    <w:rPr>
                      <w:rFonts w:ascii="宋体" w:hAnsi="宋体" w:cs="宋体"/>
                      <w:kern w:val="0"/>
                      <w:sz w:val="22"/>
                      <w:szCs w:val="22"/>
                    </w:rPr>
                  </w:pPr>
                  <w:r>
                    <w:rPr>
                      <w:rFonts w:hint="eastAsia" w:ascii="宋体" w:hAnsi="宋体" w:cs="宋体"/>
                      <w:kern w:val="0"/>
                      <w:sz w:val="22"/>
                      <w:szCs w:val="22"/>
                    </w:rPr>
                    <w:t>年份</w:t>
                  </w:r>
                </w:p>
              </w:tc>
              <w:tc>
                <w:tcPr>
                  <w:tcW w:w="1027" w:type="pct"/>
                  <w:tcBorders>
                    <w:top w:val="single" w:color="auto" w:sz="4" w:space="0"/>
                    <w:left w:val="nil"/>
                    <w:bottom w:val="single" w:color="auto" w:sz="4" w:space="0"/>
                    <w:right w:val="single" w:color="auto" w:sz="4" w:space="0"/>
                  </w:tcBorders>
                  <w:noWrap/>
                  <w:vAlign w:val="center"/>
                </w:tcPr>
                <w:p w14:paraId="495E11FB">
                  <w:pPr>
                    <w:widowControl/>
                    <w:jc w:val="center"/>
                    <w:rPr>
                      <w:rFonts w:ascii="宋体" w:hAnsi="宋体" w:cs="宋体"/>
                      <w:kern w:val="0"/>
                      <w:sz w:val="22"/>
                      <w:szCs w:val="22"/>
                    </w:rPr>
                  </w:pPr>
                  <w:r>
                    <w:rPr>
                      <w:rFonts w:hint="eastAsia" w:ascii="宋体" w:hAnsi="宋体" w:cs="宋体"/>
                      <w:kern w:val="0"/>
                      <w:sz w:val="22"/>
                      <w:szCs w:val="22"/>
                    </w:rPr>
                    <w:t>项目名称</w:t>
                  </w:r>
                </w:p>
              </w:tc>
              <w:tc>
                <w:tcPr>
                  <w:tcW w:w="1027" w:type="pct"/>
                  <w:tcBorders>
                    <w:top w:val="single" w:color="auto" w:sz="4" w:space="0"/>
                    <w:left w:val="nil"/>
                    <w:bottom w:val="single" w:color="auto" w:sz="4" w:space="0"/>
                    <w:right w:val="single" w:color="auto" w:sz="4" w:space="0"/>
                  </w:tcBorders>
                  <w:noWrap/>
                  <w:vAlign w:val="center"/>
                </w:tcPr>
                <w:p w14:paraId="3D2A46D6">
                  <w:pPr>
                    <w:widowControl/>
                    <w:jc w:val="center"/>
                    <w:rPr>
                      <w:rFonts w:ascii="宋体" w:hAnsi="宋体" w:cs="宋体"/>
                      <w:kern w:val="0"/>
                      <w:sz w:val="22"/>
                      <w:szCs w:val="22"/>
                    </w:rPr>
                  </w:pPr>
                  <w:r>
                    <w:rPr>
                      <w:rFonts w:hint="eastAsia" w:ascii="宋体" w:hAnsi="宋体" w:cs="宋体"/>
                      <w:kern w:val="0"/>
                      <w:sz w:val="22"/>
                      <w:szCs w:val="22"/>
                    </w:rPr>
                    <w:t>委托单位</w:t>
                  </w:r>
                </w:p>
              </w:tc>
              <w:tc>
                <w:tcPr>
                  <w:tcW w:w="1027" w:type="pct"/>
                  <w:tcBorders>
                    <w:top w:val="single" w:color="auto" w:sz="4" w:space="0"/>
                    <w:left w:val="nil"/>
                    <w:bottom w:val="single" w:color="auto" w:sz="4" w:space="0"/>
                    <w:right w:val="single" w:color="auto" w:sz="4" w:space="0"/>
                  </w:tcBorders>
                  <w:noWrap/>
                  <w:vAlign w:val="center"/>
                </w:tcPr>
                <w:p w14:paraId="124907A5">
                  <w:pPr>
                    <w:widowControl/>
                    <w:jc w:val="center"/>
                    <w:rPr>
                      <w:rFonts w:ascii="宋体" w:hAnsi="宋体" w:cs="宋体"/>
                      <w:kern w:val="0"/>
                      <w:sz w:val="22"/>
                      <w:szCs w:val="22"/>
                    </w:rPr>
                  </w:pPr>
                  <w:r>
                    <w:rPr>
                      <w:rFonts w:hint="eastAsia" w:ascii="宋体" w:hAnsi="宋体" w:cs="宋体"/>
                      <w:kern w:val="0"/>
                      <w:sz w:val="22"/>
                      <w:szCs w:val="22"/>
                    </w:rPr>
                    <w:t>中标金额</w:t>
                  </w:r>
                </w:p>
              </w:tc>
            </w:tr>
            <w:tr w14:paraId="1826B522">
              <w:tblPrEx>
                <w:tblCellMar>
                  <w:top w:w="0" w:type="dxa"/>
                  <w:left w:w="108" w:type="dxa"/>
                  <w:bottom w:w="0" w:type="dxa"/>
                  <w:right w:w="108" w:type="dxa"/>
                </w:tblCellMar>
              </w:tblPrEx>
              <w:trPr>
                <w:trHeight w:val="257" w:hRule="atLeast"/>
              </w:trPr>
              <w:tc>
                <w:tcPr>
                  <w:tcW w:w="700" w:type="pct"/>
                  <w:tcBorders>
                    <w:top w:val="nil"/>
                    <w:left w:val="single" w:color="auto" w:sz="4" w:space="0"/>
                    <w:bottom w:val="single" w:color="auto" w:sz="4" w:space="0"/>
                    <w:right w:val="single" w:color="auto" w:sz="4" w:space="0"/>
                  </w:tcBorders>
                  <w:noWrap/>
                  <w:vAlign w:val="center"/>
                </w:tcPr>
                <w:p w14:paraId="79B41DDA">
                  <w:pPr>
                    <w:widowControl/>
                    <w:jc w:val="center"/>
                    <w:rPr>
                      <w:rFonts w:ascii="宋体" w:hAnsi="宋体" w:cs="宋体"/>
                      <w:kern w:val="0"/>
                      <w:sz w:val="22"/>
                      <w:szCs w:val="22"/>
                    </w:rPr>
                  </w:pPr>
                  <w:r>
                    <w:rPr>
                      <w:rFonts w:ascii="宋体" w:hAnsi="宋体" w:cs="宋体"/>
                      <w:kern w:val="0"/>
                      <w:sz w:val="22"/>
                      <w:szCs w:val="22"/>
                    </w:rPr>
                    <w:t>1</w:t>
                  </w:r>
                </w:p>
              </w:tc>
              <w:tc>
                <w:tcPr>
                  <w:tcW w:w="703" w:type="pct"/>
                  <w:tcBorders>
                    <w:top w:val="nil"/>
                    <w:left w:val="nil"/>
                    <w:bottom w:val="single" w:color="auto" w:sz="4" w:space="0"/>
                    <w:right w:val="single" w:color="auto" w:sz="4" w:space="0"/>
                  </w:tcBorders>
                  <w:noWrap/>
                  <w:vAlign w:val="center"/>
                </w:tcPr>
                <w:p w14:paraId="70CC2DEE">
                  <w:pPr>
                    <w:widowControl/>
                    <w:jc w:val="center"/>
                    <w:rPr>
                      <w:rFonts w:ascii="宋体" w:hAnsi="宋体" w:cs="宋体"/>
                      <w:kern w:val="0"/>
                      <w:sz w:val="22"/>
                      <w:szCs w:val="22"/>
                    </w:rPr>
                  </w:pPr>
                  <w:r>
                    <w:rPr>
                      <w:rFonts w:hint="eastAsia" w:ascii="宋体" w:hAnsi="宋体" w:cs="宋体"/>
                      <w:kern w:val="0"/>
                      <w:sz w:val="22"/>
                      <w:szCs w:val="22"/>
                    </w:rPr>
                    <w:t>　</w:t>
                  </w:r>
                </w:p>
              </w:tc>
              <w:tc>
                <w:tcPr>
                  <w:tcW w:w="1027" w:type="pct"/>
                  <w:tcBorders>
                    <w:top w:val="nil"/>
                    <w:left w:val="nil"/>
                    <w:bottom w:val="single" w:color="auto" w:sz="4" w:space="0"/>
                    <w:right w:val="single" w:color="auto" w:sz="4" w:space="0"/>
                  </w:tcBorders>
                  <w:noWrap/>
                  <w:vAlign w:val="center"/>
                </w:tcPr>
                <w:p w14:paraId="4ABBE59B">
                  <w:pPr>
                    <w:widowControl/>
                    <w:jc w:val="center"/>
                    <w:rPr>
                      <w:rFonts w:ascii="宋体" w:hAnsi="宋体" w:cs="宋体"/>
                      <w:kern w:val="0"/>
                      <w:sz w:val="22"/>
                      <w:szCs w:val="22"/>
                    </w:rPr>
                  </w:pPr>
                  <w:r>
                    <w:rPr>
                      <w:rFonts w:hint="eastAsia" w:ascii="宋体" w:hAnsi="宋体" w:cs="宋体"/>
                      <w:kern w:val="0"/>
                      <w:sz w:val="22"/>
                      <w:szCs w:val="22"/>
                    </w:rPr>
                    <w:t>　</w:t>
                  </w:r>
                </w:p>
              </w:tc>
              <w:tc>
                <w:tcPr>
                  <w:tcW w:w="1027" w:type="pct"/>
                  <w:tcBorders>
                    <w:top w:val="nil"/>
                    <w:left w:val="nil"/>
                    <w:bottom w:val="single" w:color="auto" w:sz="4" w:space="0"/>
                    <w:right w:val="single" w:color="auto" w:sz="4" w:space="0"/>
                  </w:tcBorders>
                  <w:noWrap/>
                  <w:vAlign w:val="center"/>
                </w:tcPr>
                <w:p w14:paraId="2A7B5DC4">
                  <w:pPr>
                    <w:widowControl/>
                    <w:jc w:val="center"/>
                    <w:rPr>
                      <w:rFonts w:ascii="宋体" w:hAnsi="宋体" w:cs="宋体"/>
                      <w:kern w:val="0"/>
                      <w:sz w:val="22"/>
                      <w:szCs w:val="22"/>
                    </w:rPr>
                  </w:pPr>
                  <w:r>
                    <w:rPr>
                      <w:rFonts w:hint="eastAsia" w:ascii="宋体" w:hAnsi="宋体" w:cs="宋体"/>
                      <w:kern w:val="0"/>
                      <w:sz w:val="22"/>
                      <w:szCs w:val="22"/>
                    </w:rPr>
                    <w:t>　</w:t>
                  </w:r>
                </w:p>
              </w:tc>
              <w:tc>
                <w:tcPr>
                  <w:tcW w:w="1027" w:type="pct"/>
                  <w:tcBorders>
                    <w:top w:val="nil"/>
                    <w:left w:val="nil"/>
                    <w:bottom w:val="single" w:color="auto" w:sz="4" w:space="0"/>
                    <w:right w:val="single" w:color="auto" w:sz="4" w:space="0"/>
                  </w:tcBorders>
                  <w:noWrap/>
                  <w:vAlign w:val="center"/>
                </w:tcPr>
                <w:p w14:paraId="238E56F3">
                  <w:pPr>
                    <w:widowControl/>
                    <w:jc w:val="center"/>
                    <w:rPr>
                      <w:rFonts w:ascii="宋体" w:hAnsi="宋体" w:cs="宋体"/>
                      <w:kern w:val="0"/>
                      <w:sz w:val="22"/>
                      <w:szCs w:val="22"/>
                    </w:rPr>
                  </w:pPr>
                  <w:r>
                    <w:rPr>
                      <w:rFonts w:hint="eastAsia" w:ascii="宋体" w:hAnsi="宋体" w:cs="宋体"/>
                      <w:kern w:val="0"/>
                      <w:sz w:val="22"/>
                      <w:szCs w:val="22"/>
                    </w:rPr>
                    <w:t>　</w:t>
                  </w:r>
                </w:p>
              </w:tc>
            </w:tr>
            <w:tr w14:paraId="454C2CA3">
              <w:tblPrEx>
                <w:tblCellMar>
                  <w:top w:w="0" w:type="dxa"/>
                  <w:left w:w="108" w:type="dxa"/>
                  <w:bottom w:w="0" w:type="dxa"/>
                  <w:right w:w="108" w:type="dxa"/>
                </w:tblCellMar>
              </w:tblPrEx>
              <w:trPr>
                <w:trHeight w:val="257" w:hRule="atLeast"/>
              </w:trPr>
              <w:tc>
                <w:tcPr>
                  <w:tcW w:w="700" w:type="pct"/>
                  <w:tcBorders>
                    <w:top w:val="nil"/>
                    <w:left w:val="single" w:color="auto" w:sz="4" w:space="0"/>
                    <w:bottom w:val="single" w:color="auto" w:sz="4" w:space="0"/>
                    <w:right w:val="single" w:color="auto" w:sz="4" w:space="0"/>
                  </w:tcBorders>
                  <w:noWrap/>
                  <w:vAlign w:val="center"/>
                </w:tcPr>
                <w:p w14:paraId="746158F4">
                  <w:pPr>
                    <w:widowControl/>
                    <w:jc w:val="center"/>
                    <w:rPr>
                      <w:rFonts w:ascii="宋体" w:hAnsi="宋体" w:cs="宋体"/>
                      <w:kern w:val="0"/>
                      <w:sz w:val="22"/>
                      <w:szCs w:val="22"/>
                    </w:rPr>
                  </w:pPr>
                  <w:r>
                    <w:rPr>
                      <w:rFonts w:ascii="宋体" w:hAnsi="宋体" w:cs="宋体"/>
                      <w:kern w:val="0"/>
                      <w:sz w:val="22"/>
                      <w:szCs w:val="22"/>
                    </w:rPr>
                    <w:t>2</w:t>
                  </w:r>
                </w:p>
              </w:tc>
              <w:tc>
                <w:tcPr>
                  <w:tcW w:w="703" w:type="pct"/>
                  <w:tcBorders>
                    <w:top w:val="nil"/>
                    <w:left w:val="nil"/>
                    <w:bottom w:val="single" w:color="auto" w:sz="4" w:space="0"/>
                    <w:right w:val="single" w:color="auto" w:sz="4" w:space="0"/>
                  </w:tcBorders>
                  <w:noWrap/>
                  <w:vAlign w:val="center"/>
                </w:tcPr>
                <w:p w14:paraId="2D1A5F88">
                  <w:pPr>
                    <w:widowControl/>
                    <w:jc w:val="center"/>
                    <w:rPr>
                      <w:rFonts w:ascii="宋体" w:hAnsi="宋体" w:cs="宋体"/>
                      <w:kern w:val="0"/>
                      <w:sz w:val="22"/>
                      <w:szCs w:val="22"/>
                    </w:rPr>
                  </w:pPr>
                  <w:r>
                    <w:rPr>
                      <w:rFonts w:hint="eastAsia" w:ascii="宋体" w:hAnsi="宋体" w:cs="宋体"/>
                      <w:kern w:val="0"/>
                      <w:sz w:val="22"/>
                      <w:szCs w:val="22"/>
                    </w:rPr>
                    <w:t>　</w:t>
                  </w:r>
                </w:p>
              </w:tc>
              <w:tc>
                <w:tcPr>
                  <w:tcW w:w="1027" w:type="pct"/>
                  <w:tcBorders>
                    <w:top w:val="nil"/>
                    <w:left w:val="nil"/>
                    <w:bottom w:val="single" w:color="auto" w:sz="4" w:space="0"/>
                    <w:right w:val="single" w:color="auto" w:sz="4" w:space="0"/>
                  </w:tcBorders>
                  <w:noWrap/>
                  <w:vAlign w:val="center"/>
                </w:tcPr>
                <w:p w14:paraId="7B9F110D">
                  <w:pPr>
                    <w:widowControl/>
                    <w:jc w:val="center"/>
                    <w:rPr>
                      <w:rFonts w:ascii="宋体" w:hAnsi="宋体" w:cs="宋体"/>
                      <w:kern w:val="0"/>
                      <w:sz w:val="22"/>
                      <w:szCs w:val="22"/>
                    </w:rPr>
                  </w:pPr>
                  <w:r>
                    <w:rPr>
                      <w:rFonts w:hint="eastAsia" w:ascii="宋体" w:hAnsi="宋体" w:cs="宋体"/>
                      <w:kern w:val="0"/>
                      <w:sz w:val="22"/>
                      <w:szCs w:val="22"/>
                    </w:rPr>
                    <w:t>　</w:t>
                  </w:r>
                </w:p>
              </w:tc>
              <w:tc>
                <w:tcPr>
                  <w:tcW w:w="1027" w:type="pct"/>
                  <w:tcBorders>
                    <w:top w:val="nil"/>
                    <w:left w:val="nil"/>
                    <w:bottom w:val="single" w:color="auto" w:sz="4" w:space="0"/>
                    <w:right w:val="single" w:color="auto" w:sz="4" w:space="0"/>
                  </w:tcBorders>
                  <w:noWrap/>
                  <w:vAlign w:val="center"/>
                </w:tcPr>
                <w:p w14:paraId="5084612B">
                  <w:pPr>
                    <w:widowControl/>
                    <w:jc w:val="center"/>
                    <w:rPr>
                      <w:rFonts w:ascii="宋体" w:hAnsi="宋体" w:cs="宋体"/>
                      <w:kern w:val="0"/>
                      <w:sz w:val="22"/>
                      <w:szCs w:val="22"/>
                    </w:rPr>
                  </w:pPr>
                  <w:r>
                    <w:rPr>
                      <w:rFonts w:hint="eastAsia" w:ascii="宋体" w:hAnsi="宋体" w:cs="宋体"/>
                      <w:kern w:val="0"/>
                      <w:sz w:val="22"/>
                      <w:szCs w:val="22"/>
                    </w:rPr>
                    <w:t>　</w:t>
                  </w:r>
                </w:p>
              </w:tc>
              <w:tc>
                <w:tcPr>
                  <w:tcW w:w="1027" w:type="pct"/>
                  <w:tcBorders>
                    <w:top w:val="nil"/>
                    <w:left w:val="nil"/>
                    <w:bottom w:val="single" w:color="auto" w:sz="4" w:space="0"/>
                    <w:right w:val="single" w:color="auto" w:sz="4" w:space="0"/>
                  </w:tcBorders>
                  <w:noWrap/>
                  <w:vAlign w:val="center"/>
                </w:tcPr>
                <w:p w14:paraId="3F2C062B">
                  <w:pPr>
                    <w:widowControl/>
                    <w:jc w:val="center"/>
                    <w:rPr>
                      <w:rFonts w:ascii="宋体" w:hAnsi="宋体" w:cs="宋体"/>
                      <w:kern w:val="0"/>
                      <w:sz w:val="22"/>
                      <w:szCs w:val="22"/>
                    </w:rPr>
                  </w:pPr>
                  <w:r>
                    <w:rPr>
                      <w:rFonts w:hint="eastAsia" w:ascii="宋体" w:hAnsi="宋体" w:cs="宋体"/>
                      <w:kern w:val="0"/>
                      <w:sz w:val="22"/>
                      <w:szCs w:val="22"/>
                    </w:rPr>
                    <w:t>　</w:t>
                  </w:r>
                </w:p>
              </w:tc>
            </w:tr>
            <w:tr w14:paraId="3DE282F1">
              <w:tblPrEx>
                <w:tblCellMar>
                  <w:top w:w="0" w:type="dxa"/>
                  <w:left w:w="108" w:type="dxa"/>
                  <w:bottom w:w="0" w:type="dxa"/>
                  <w:right w:w="108" w:type="dxa"/>
                </w:tblCellMar>
              </w:tblPrEx>
              <w:trPr>
                <w:trHeight w:val="257" w:hRule="atLeast"/>
              </w:trPr>
              <w:tc>
                <w:tcPr>
                  <w:tcW w:w="700" w:type="pct"/>
                  <w:tcBorders>
                    <w:top w:val="nil"/>
                    <w:left w:val="single" w:color="auto" w:sz="4" w:space="0"/>
                    <w:bottom w:val="single" w:color="auto" w:sz="4" w:space="0"/>
                    <w:right w:val="single" w:color="auto" w:sz="4" w:space="0"/>
                  </w:tcBorders>
                  <w:noWrap/>
                  <w:vAlign w:val="center"/>
                </w:tcPr>
                <w:p w14:paraId="07904417">
                  <w:pPr>
                    <w:widowControl/>
                    <w:jc w:val="center"/>
                    <w:rPr>
                      <w:rFonts w:ascii="宋体" w:hAnsi="宋体" w:cs="宋体"/>
                      <w:kern w:val="0"/>
                      <w:sz w:val="22"/>
                      <w:szCs w:val="22"/>
                    </w:rPr>
                  </w:pPr>
                  <w:r>
                    <w:rPr>
                      <w:rFonts w:ascii="宋体" w:hAnsi="宋体" w:cs="宋体"/>
                      <w:kern w:val="0"/>
                      <w:sz w:val="22"/>
                      <w:szCs w:val="22"/>
                    </w:rPr>
                    <w:t>3</w:t>
                  </w:r>
                </w:p>
              </w:tc>
              <w:tc>
                <w:tcPr>
                  <w:tcW w:w="703" w:type="pct"/>
                  <w:tcBorders>
                    <w:top w:val="nil"/>
                    <w:left w:val="nil"/>
                    <w:bottom w:val="single" w:color="auto" w:sz="4" w:space="0"/>
                    <w:right w:val="single" w:color="auto" w:sz="4" w:space="0"/>
                  </w:tcBorders>
                  <w:noWrap/>
                  <w:vAlign w:val="center"/>
                </w:tcPr>
                <w:p w14:paraId="1E9AEBC1">
                  <w:pPr>
                    <w:widowControl/>
                    <w:jc w:val="center"/>
                    <w:rPr>
                      <w:rFonts w:ascii="宋体" w:hAnsi="宋体" w:cs="宋体"/>
                      <w:kern w:val="0"/>
                      <w:sz w:val="22"/>
                      <w:szCs w:val="22"/>
                    </w:rPr>
                  </w:pPr>
                  <w:r>
                    <w:rPr>
                      <w:rFonts w:hint="eastAsia" w:ascii="宋体" w:hAnsi="宋体" w:cs="宋体"/>
                      <w:kern w:val="0"/>
                      <w:sz w:val="22"/>
                      <w:szCs w:val="22"/>
                    </w:rPr>
                    <w:t>　</w:t>
                  </w:r>
                </w:p>
              </w:tc>
              <w:tc>
                <w:tcPr>
                  <w:tcW w:w="1027" w:type="pct"/>
                  <w:tcBorders>
                    <w:top w:val="nil"/>
                    <w:left w:val="nil"/>
                    <w:bottom w:val="single" w:color="auto" w:sz="4" w:space="0"/>
                    <w:right w:val="single" w:color="auto" w:sz="4" w:space="0"/>
                  </w:tcBorders>
                  <w:noWrap/>
                  <w:vAlign w:val="center"/>
                </w:tcPr>
                <w:p w14:paraId="6F3AF00A">
                  <w:pPr>
                    <w:widowControl/>
                    <w:jc w:val="center"/>
                    <w:rPr>
                      <w:rFonts w:ascii="宋体" w:hAnsi="宋体" w:cs="宋体"/>
                      <w:kern w:val="0"/>
                      <w:sz w:val="22"/>
                      <w:szCs w:val="22"/>
                    </w:rPr>
                  </w:pPr>
                  <w:r>
                    <w:rPr>
                      <w:rFonts w:hint="eastAsia" w:ascii="宋体" w:hAnsi="宋体" w:cs="宋体"/>
                      <w:kern w:val="0"/>
                      <w:sz w:val="22"/>
                      <w:szCs w:val="22"/>
                    </w:rPr>
                    <w:t>　</w:t>
                  </w:r>
                </w:p>
              </w:tc>
              <w:tc>
                <w:tcPr>
                  <w:tcW w:w="1027" w:type="pct"/>
                  <w:tcBorders>
                    <w:top w:val="nil"/>
                    <w:left w:val="nil"/>
                    <w:bottom w:val="single" w:color="auto" w:sz="4" w:space="0"/>
                    <w:right w:val="single" w:color="auto" w:sz="4" w:space="0"/>
                  </w:tcBorders>
                  <w:noWrap/>
                  <w:vAlign w:val="center"/>
                </w:tcPr>
                <w:p w14:paraId="2CBD1EE6">
                  <w:pPr>
                    <w:widowControl/>
                    <w:jc w:val="center"/>
                    <w:rPr>
                      <w:rFonts w:ascii="宋体" w:hAnsi="宋体" w:cs="宋体"/>
                      <w:kern w:val="0"/>
                      <w:sz w:val="22"/>
                      <w:szCs w:val="22"/>
                    </w:rPr>
                  </w:pPr>
                  <w:r>
                    <w:rPr>
                      <w:rFonts w:hint="eastAsia" w:ascii="宋体" w:hAnsi="宋体" w:cs="宋体"/>
                      <w:kern w:val="0"/>
                      <w:sz w:val="22"/>
                      <w:szCs w:val="22"/>
                    </w:rPr>
                    <w:t>　</w:t>
                  </w:r>
                </w:p>
              </w:tc>
              <w:tc>
                <w:tcPr>
                  <w:tcW w:w="1027" w:type="pct"/>
                  <w:tcBorders>
                    <w:top w:val="nil"/>
                    <w:left w:val="nil"/>
                    <w:bottom w:val="single" w:color="auto" w:sz="4" w:space="0"/>
                    <w:right w:val="single" w:color="auto" w:sz="4" w:space="0"/>
                  </w:tcBorders>
                  <w:noWrap/>
                  <w:vAlign w:val="center"/>
                </w:tcPr>
                <w:p w14:paraId="09A53D01">
                  <w:pPr>
                    <w:widowControl/>
                    <w:jc w:val="center"/>
                    <w:rPr>
                      <w:rFonts w:ascii="宋体" w:hAnsi="宋体" w:cs="宋体"/>
                      <w:kern w:val="0"/>
                      <w:sz w:val="22"/>
                      <w:szCs w:val="22"/>
                    </w:rPr>
                  </w:pPr>
                  <w:r>
                    <w:rPr>
                      <w:rFonts w:hint="eastAsia" w:ascii="宋体" w:hAnsi="宋体" w:cs="宋体"/>
                      <w:kern w:val="0"/>
                      <w:sz w:val="22"/>
                      <w:szCs w:val="22"/>
                    </w:rPr>
                    <w:t>　</w:t>
                  </w:r>
                </w:p>
              </w:tc>
            </w:tr>
            <w:tr w14:paraId="59F6E220">
              <w:tblPrEx>
                <w:tblCellMar>
                  <w:top w:w="0" w:type="dxa"/>
                  <w:left w:w="108" w:type="dxa"/>
                  <w:bottom w:w="0" w:type="dxa"/>
                  <w:right w:w="108" w:type="dxa"/>
                </w:tblCellMar>
              </w:tblPrEx>
              <w:trPr>
                <w:trHeight w:val="257" w:hRule="atLeast"/>
              </w:trPr>
              <w:tc>
                <w:tcPr>
                  <w:tcW w:w="700" w:type="pct"/>
                  <w:tcBorders>
                    <w:top w:val="nil"/>
                    <w:left w:val="single" w:color="auto" w:sz="4" w:space="0"/>
                    <w:bottom w:val="single" w:color="auto" w:sz="4" w:space="0"/>
                    <w:right w:val="single" w:color="auto" w:sz="4" w:space="0"/>
                  </w:tcBorders>
                  <w:noWrap/>
                  <w:vAlign w:val="center"/>
                </w:tcPr>
                <w:p w14:paraId="1914DA54">
                  <w:pPr>
                    <w:widowControl/>
                    <w:jc w:val="center"/>
                    <w:rPr>
                      <w:rFonts w:ascii="宋体" w:hAnsi="宋体" w:cs="宋体"/>
                      <w:kern w:val="0"/>
                      <w:sz w:val="22"/>
                      <w:szCs w:val="22"/>
                    </w:rPr>
                  </w:pPr>
                  <w:r>
                    <w:rPr>
                      <w:rFonts w:hint="eastAsia" w:ascii="宋体" w:hAnsi="宋体" w:cs="宋体"/>
                      <w:kern w:val="0"/>
                      <w:sz w:val="22"/>
                      <w:szCs w:val="22"/>
                    </w:rPr>
                    <w:t>……</w:t>
                  </w:r>
                </w:p>
              </w:tc>
              <w:tc>
                <w:tcPr>
                  <w:tcW w:w="703" w:type="pct"/>
                  <w:tcBorders>
                    <w:top w:val="nil"/>
                    <w:left w:val="nil"/>
                    <w:bottom w:val="single" w:color="auto" w:sz="4" w:space="0"/>
                    <w:right w:val="single" w:color="auto" w:sz="4" w:space="0"/>
                  </w:tcBorders>
                  <w:noWrap/>
                  <w:vAlign w:val="center"/>
                </w:tcPr>
                <w:p w14:paraId="003964B2">
                  <w:pPr>
                    <w:widowControl/>
                    <w:jc w:val="center"/>
                    <w:rPr>
                      <w:rFonts w:ascii="宋体" w:hAnsi="宋体" w:cs="宋体"/>
                      <w:kern w:val="0"/>
                      <w:sz w:val="22"/>
                      <w:szCs w:val="22"/>
                    </w:rPr>
                  </w:pPr>
                  <w:r>
                    <w:rPr>
                      <w:rFonts w:hint="eastAsia" w:ascii="宋体" w:hAnsi="宋体" w:cs="宋体"/>
                      <w:kern w:val="0"/>
                      <w:sz w:val="22"/>
                      <w:szCs w:val="22"/>
                    </w:rPr>
                    <w:t>　</w:t>
                  </w:r>
                </w:p>
              </w:tc>
              <w:tc>
                <w:tcPr>
                  <w:tcW w:w="1027" w:type="pct"/>
                  <w:tcBorders>
                    <w:top w:val="nil"/>
                    <w:left w:val="nil"/>
                    <w:bottom w:val="single" w:color="auto" w:sz="4" w:space="0"/>
                    <w:right w:val="single" w:color="auto" w:sz="4" w:space="0"/>
                  </w:tcBorders>
                  <w:noWrap/>
                  <w:vAlign w:val="center"/>
                </w:tcPr>
                <w:p w14:paraId="797B18D2">
                  <w:pPr>
                    <w:widowControl/>
                    <w:jc w:val="center"/>
                    <w:rPr>
                      <w:rFonts w:ascii="宋体" w:hAnsi="宋体" w:cs="宋体"/>
                      <w:kern w:val="0"/>
                      <w:sz w:val="22"/>
                      <w:szCs w:val="22"/>
                    </w:rPr>
                  </w:pPr>
                  <w:r>
                    <w:rPr>
                      <w:rFonts w:hint="eastAsia" w:ascii="宋体" w:hAnsi="宋体" w:cs="宋体"/>
                      <w:kern w:val="0"/>
                      <w:sz w:val="22"/>
                      <w:szCs w:val="22"/>
                    </w:rPr>
                    <w:t>　</w:t>
                  </w:r>
                </w:p>
              </w:tc>
              <w:tc>
                <w:tcPr>
                  <w:tcW w:w="1027" w:type="pct"/>
                  <w:tcBorders>
                    <w:top w:val="nil"/>
                    <w:left w:val="nil"/>
                    <w:bottom w:val="single" w:color="auto" w:sz="4" w:space="0"/>
                    <w:right w:val="single" w:color="auto" w:sz="4" w:space="0"/>
                  </w:tcBorders>
                  <w:noWrap/>
                  <w:vAlign w:val="center"/>
                </w:tcPr>
                <w:p w14:paraId="2E68433E">
                  <w:pPr>
                    <w:widowControl/>
                    <w:jc w:val="center"/>
                    <w:rPr>
                      <w:rFonts w:ascii="宋体" w:hAnsi="宋体" w:cs="宋体"/>
                      <w:kern w:val="0"/>
                      <w:sz w:val="22"/>
                      <w:szCs w:val="22"/>
                    </w:rPr>
                  </w:pPr>
                  <w:r>
                    <w:rPr>
                      <w:rFonts w:hint="eastAsia" w:ascii="宋体" w:hAnsi="宋体" w:cs="宋体"/>
                      <w:kern w:val="0"/>
                      <w:sz w:val="22"/>
                      <w:szCs w:val="22"/>
                    </w:rPr>
                    <w:t>　</w:t>
                  </w:r>
                </w:p>
              </w:tc>
              <w:tc>
                <w:tcPr>
                  <w:tcW w:w="1027" w:type="pct"/>
                  <w:tcBorders>
                    <w:top w:val="nil"/>
                    <w:left w:val="nil"/>
                    <w:bottom w:val="single" w:color="auto" w:sz="4" w:space="0"/>
                    <w:right w:val="single" w:color="auto" w:sz="4" w:space="0"/>
                  </w:tcBorders>
                  <w:noWrap/>
                  <w:vAlign w:val="center"/>
                </w:tcPr>
                <w:p w14:paraId="1036746C">
                  <w:pPr>
                    <w:widowControl/>
                    <w:jc w:val="center"/>
                    <w:rPr>
                      <w:rFonts w:ascii="宋体" w:hAnsi="宋体" w:cs="宋体"/>
                      <w:kern w:val="0"/>
                      <w:sz w:val="22"/>
                      <w:szCs w:val="22"/>
                    </w:rPr>
                  </w:pPr>
                  <w:r>
                    <w:rPr>
                      <w:rFonts w:hint="eastAsia" w:ascii="宋体" w:hAnsi="宋体" w:cs="宋体"/>
                      <w:kern w:val="0"/>
                      <w:sz w:val="22"/>
                      <w:szCs w:val="22"/>
                    </w:rPr>
                    <w:t>　</w:t>
                  </w:r>
                </w:p>
              </w:tc>
            </w:tr>
            <w:tr w14:paraId="0BF4D07B">
              <w:tblPrEx>
                <w:tblCellMar>
                  <w:top w:w="0" w:type="dxa"/>
                  <w:left w:w="108" w:type="dxa"/>
                  <w:bottom w:w="0" w:type="dxa"/>
                  <w:right w:w="108" w:type="dxa"/>
                </w:tblCellMar>
              </w:tblPrEx>
              <w:trPr>
                <w:trHeight w:val="257" w:hRule="atLeast"/>
              </w:trPr>
              <w:tc>
                <w:tcPr>
                  <w:tcW w:w="700" w:type="pct"/>
                  <w:tcBorders>
                    <w:top w:val="nil"/>
                    <w:left w:val="single" w:color="auto" w:sz="4" w:space="0"/>
                    <w:bottom w:val="single" w:color="auto" w:sz="4" w:space="0"/>
                    <w:right w:val="single" w:color="auto" w:sz="4" w:space="0"/>
                  </w:tcBorders>
                  <w:noWrap/>
                  <w:vAlign w:val="center"/>
                </w:tcPr>
                <w:p w14:paraId="6F4A4491">
                  <w:pPr>
                    <w:widowControl/>
                    <w:jc w:val="center"/>
                    <w:rPr>
                      <w:rFonts w:ascii="宋体" w:hAnsi="宋体" w:cs="宋体"/>
                      <w:kern w:val="0"/>
                      <w:sz w:val="22"/>
                      <w:szCs w:val="22"/>
                    </w:rPr>
                  </w:pPr>
                  <w:r>
                    <w:rPr>
                      <w:rFonts w:hint="eastAsia" w:ascii="宋体" w:hAnsi="宋体" w:cs="宋体"/>
                      <w:kern w:val="0"/>
                      <w:sz w:val="22"/>
                      <w:szCs w:val="22"/>
                    </w:rPr>
                    <w:t>合计</w:t>
                  </w:r>
                </w:p>
              </w:tc>
              <w:tc>
                <w:tcPr>
                  <w:tcW w:w="703" w:type="pct"/>
                  <w:tcBorders>
                    <w:top w:val="nil"/>
                    <w:left w:val="nil"/>
                    <w:bottom w:val="single" w:color="auto" w:sz="4" w:space="0"/>
                    <w:right w:val="single" w:color="auto" w:sz="4" w:space="0"/>
                  </w:tcBorders>
                  <w:noWrap/>
                  <w:vAlign w:val="center"/>
                </w:tcPr>
                <w:p w14:paraId="02357B4F">
                  <w:pPr>
                    <w:widowControl/>
                    <w:jc w:val="center"/>
                    <w:rPr>
                      <w:rFonts w:ascii="宋体" w:hAnsi="宋体" w:cs="宋体"/>
                      <w:kern w:val="0"/>
                      <w:sz w:val="22"/>
                      <w:szCs w:val="22"/>
                    </w:rPr>
                  </w:pPr>
                  <w:r>
                    <w:rPr>
                      <w:rFonts w:hint="eastAsia" w:ascii="宋体" w:hAnsi="宋体" w:cs="宋体"/>
                      <w:kern w:val="0"/>
                      <w:sz w:val="22"/>
                      <w:szCs w:val="22"/>
                    </w:rPr>
                    <w:t>　</w:t>
                  </w:r>
                </w:p>
              </w:tc>
              <w:tc>
                <w:tcPr>
                  <w:tcW w:w="1027" w:type="pct"/>
                  <w:tcBorders>
                    <w:top w:val="nil"/>
                    <w:left w:val="nil"/>
                    <w:bottom w:val="single" w:color="auto" w:sz="4" w:space="0"/>
                    <w:right w:val="single" w:color="auto" w:sz="4" w:space="0"/>
                  </w:tcBorders>
                  <w:noWrap/>
                  <w:vAlign w:val="center"/>
                </w:tcPr>
                <w:p w14:paraId="67D913AE">
                  <w:pPr>
                    <w:widowControl/>
                    <w:jc w:val="center"/>
                    <w:rPr>
                      <w:rFonts w:ascii="宋体" w:hAnsi="宋体" w:cs="宋体"/>
                      <w:kern w:val="0"/>
                      <w:sz w:val="22"/>
                      <w:szCs w:val="22"/>
                    </w:rPr>
                  </w:pPr>
                  <w:r>
                    <w:rPr>
                      <w:rFonts w:hint="eastAsia" w:ascii="宋体" w:hAnsi="宋体" w:cs="宋体"/>
                      <w:kern w:val="0"/>
                      <w:sz w:val="22"/>
                      <w:szCs w:val="22"/>
                    </w:rPr>
                    <w:t>　</w:t>
                  </w:r>
                </w:p>
              </w:tc>
              <w:tc>
                <w:tcPr>
                  <w:tcW w:w="1027" w:type="pct"/>
                  <w:tcBorders>
                    <w:top w:val="nil"/>
                    <w:left w:val="nil"/>
                    <w:bottom w:val="single" w:color="auto" w:sz="4" w:space="0"/>
                    <w:right w:val="single" w:color="auto" w:sz="4" w:space="0"/>
                  </w:tcBorders>
                  <w:noWrap/>
                  <w:vAlign w:val="center"/>
                </w:tcPr>
                <w:p w14:paraId="79800F21">
                  <w:pPr>
                    <w:widowControl/>
                    <w:jc w:val="center"/>
                    <w:rPr>
                      <w:rFonts w:ascii="宋体" w:hAnsi="宋体" w:cs="宋体"/>
                      <w:kern w:val="0"/>
                      <w:sz w:val="22"/>
                      <w:szCs w:val="22"/>
                    </w:rPr>
                  </w:pPr>
                  <w:r>
                    <w:rPr>
                      <w:rFonts w:hint="eastAsia" w:ascii="宋体" w:hAnsi="宋体" w:cs="宋体"/>
                      <w:kern w:val="0"/>
                      <w:sz w:val="22"/>
                      <w:szCs w:val="22"/>
                    </w:rPr>
                    <w:t>　</w:t>
                  </w:r>
                </w:p>
              </w:tc>
              <w:tc>
                <w:tcPr>
                  <w:tcW w:w="1027" w:type="pct"/>
                  <w:tcBorders>
                    <w:top w:val="nil"/>
                    <w:left w:val="nil"/>
                    <w:bottom w:val="single" w:color="auto" w:sz="4" w:space="0"/>
                    <w:right w:val="single" w:color="auto" w:sz="4" w:space="0"/>
                  </w:tcBorders>
                  <w:noWrap/>
                  <w:vAlign w:val="center"/>
                </w:tcPr>
                <w:p w14:paraId="1FB5F71D">
                  <w:pPr>
                    <w:widowControl/>
                    <w:jc w:val="center"/>
                    <w:rPr>
                      <w:rFonts w:ascii="宋体" w:hAnsi="宋体" w:cs="宋体"/>
                      <w:kern w:val="0"/>
                      <w:sz w:val="22"/>
                      <w:szCs w:val="22"/>
                    </w:rPr>
                  </w:pPr>
                  <w:r>
                    <w:rPr>
                      <w:rFonts w:hint="eastAsia" w:ascii="宋体" w:hAnsi="宋体" w:cs="宋体"/>
                      <w:kern w:val="0"/>
                      <w:sz w:val="22"/>
                      <w:szCs w:val="22"/>
                    </w:rPr>
                    <w:t>　</w:t>
                  </w:r>
                </w:p>
              </w:tc>
            </w:tr>
          </w:tbl>
          <w:p w14:paraId="03640913">
            <w:pPr>
              <w:widowControl/>
              <w:jc w:val="left"/>
              <w:rPr>
                <w:rFonts w:ascii="宋体" w:hAnsi="宋体" w:cs="宋体"/>
                <w:kern w:val="0"/>
                <w:sz w:val="24"/>
              </w:rPr>
            </w:pPr>
          </w:p>
        </w:tc>
      </w:tr>
      <w:tr w14:paraId="07A33932">
        <w:tblPrEx>
          <w:tblCellMar>
            <w:top w:w="0" w:type="dxa"/>
            <w:left w:w="108" w:type="dxa"/>
            <w:bottom w:w="0" w:type="dxa"/>
            <w:right w:w="108" w:type="dxa"/>
          </w:tblCellMar>
        </w:tblPrEx>
        <w:trPr>
          <w:trHeight w:val="855"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14:paraId="700D3F62">
            <w:pPr>
              <w:widowControl/>
              <w:jc w:val="center"/>
              <w:rPr>
                <w:rFonts w:ascii="宋体" w:hAnsi="宋体" w:cs="宋体"/>
                <w:b/>
                <w:bCs/>
                <w:kern w:val="0"/>
                <w:sz w:val="24"/>
              </w:rPr>
            </w:pPr>
            <w:r>
              <w:rPr>
                <w:rFonts w:ascii="宋体" w:hAnsi="宋体" w:cs="宋体"/>
                <w:b/>
                <w:bCs/>
                <w:kern w:val="0"/>
                <w:sz w:val="24"/>
              </w:rPr>
              <w:t>6</w:t>
            </w:r>
          </w:p>
        </w:tc>
        <w:tc>
          <w:tcPr>
            <w:tcW w:w="4418" w:type="dxa"/>
            <w:tcBorders>
              <w:top w:val="nil"/>
              <w:left w:val="nil"/>
              <w:bottom w:val="single" w:color="auto" w:sz="4" w:space="0"/>
              <w:right w:val="single" w:color="auto" w:sz="4" w:space="0"/>
            </w:tcBorders>
            <w:shd w:val="clear" w:color="auto" w:fill="auto"/>
            <w:vAlign w:val="center"/>
          </w:tcPr>
          <w:p w14:paraId="474594E7">
            <w:pPr>
              <w:widowControl/>
              <w:jc w:val="left"/>
              <w:rPr>
                <w:rFonts w:ascii="宋体" w:hAnsi="宋体" w:cs="宋体"/>
                <w:kern w:val="0"/>
                <w:sz w:val="24"/>
              </w:rPr>
            </w:pPr>
            <w:r>
              <w:rPr>
                <w:rFonts w:hint="eastAsia" w:ascii="宋体" w:hAnsi="宋体" w:cs="宋体"/>
                <w:kern w:val="0"/>
                <w:sz w:val="24"/>
              </w:rPr>
              <w:t>人员配备情况</w:t>
            </w:r>
            <w:r>
              <w:rPr>
                <w:rFonts w:ascii="宋体" w:hAnsi="宋体" w:cs="宋体"/>
                <w:kern w:val="0"/>
                <w:sz w:val="24"/>
              </w:rPr>
              <w:t>:项目负责人的职称、工作年限、是否为评标专家情况及项目团队人员构成情况，提供人员相关证书及近6个月中社保缴纳证明复印件（须加盖本单位公章）</w:t>
            </w:r>
          </w:p>
        </w:tc>
        <w:tc>
          <w:tcPr>
            <w:tcW w:w="1252" w:type="dxa"/>
            <w:tcBorders>
              <w:top w:val="nil"/>
              <w:left w:val="nil"/>
              <w:bottom w:val="single" w:color="auto" w:sz="4" w:space="0"/>
              <w:right w:val="single" w:color="auto" w:sz="4" w:space="0"/>
            </w:tcBorders>
            <w:shd w:val="clear" w:color="auto" w:fill="auto"/>
            <w:noWrap/>
            <w:vAlign w:val="center"/>
          </w:tcPr>
          <w:p w14:paraId="536E36F6">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shd w:val="clear" w:color="auto" w:fill="auto"/>
            <w:noWrap/>
            <w:vAlign w:val="center"/>
          </w:tcPr>
          <w:p w14:paraId="463F5B6D">
            <w:pPr>
              <w:widowControl/>
              <w:jc w:val="left"/>
              <w:rPr>
                <w:rFonts w:ascii="宋体" w:hAnsi="宋体" w:cs="宋体"/>
                <w:kern w:val="0"/>
                <w:sz w:val="24"/>
              </w:rPr>
            </w:pPr>
            <w:r>
              <w:rPr>
                <w:rFonts w:hint="eastAsia" w:ascii="宋体" w:hAnsi="宋体" w:cs="宋体"/>
                <w:kern w:val="0"/>
                <w:sz w:val="24"/>
              </w:rPr>
              <w:t>　</w:t>
            </w:r>
          </w:p>
        </w:tc>
      </w:tr>
      <w:tr w14:paraId="54970598">
        <w:tblPrEx>
          <w:tblCellMar>
            <w:top w:w="0" w:type="dxa"/>
            <w:left w:w="108" w:type="dxa"/>
            <w:bottom w:w="0" w:type="dxa"/>
            <w:right w:w="108" w:type="dxa"/>
          </w:tblCellMar>
        </w:tblPrEx>
        <w:trPr>
          <w:trHeight w:val="285"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14:paraId="1BD5E96A">
            <w:pPr>
              <w:widowControl/>
              <w:jc w:val="center"/>
              <w:rPr>
                <w:rFonts w:ascii="宋体" w:hAnsi="宋体" w:cs="宋体"/>
                <w:b/>
                <w:bCs/>
                <w:kern w:val="0"/>
                <w:sz w:val="24"/>
              </w:rPr>
            </w:pPr>
            <w:r>
              <w:rPr>
                <w:rFonts w:ascii="宋体" w:hAnsi="宋体" w:cs="宋体"/>
                <w:b/>
                <w:bCs/>
                <w:kern w:val="0"/>
                <w:sz w:val="24"/>
              </w:rPr>
              <w:t>7</w:t>
            </w:r>
          </w:p>
        </w:tc>
        <w:tc>
          <w:tcPr>
            <w:tcW w:w="7421" w:type="dxa"/>
            <w:gridSpan w:val="3"/>
            <w:tcBorders>
              <w:top w:val="nil"/>
              <w:left w:val="nil"/>
              <w:bottom w:val="single" w:color="auto" w:sz="4" w:space="0"/>
              <w:right w:val="single" w:color="auto" w:sz="4" w:space="0"/>
            </w:tcBorders>
            <w:shd w:val="clear" w:color="auto" w:fill="auto"/>
            <w:vAlign w:val="center"/>
          </w:tcPr>
          <w:p w14:paraId="78684E76">
            <w:pPr>
              <w:widowControl/>
              <w:jc w:val="left"/>
              <w:rPr>
                <w:rFonts w:ascii="宋体" w:hAnsi="宋体" w:cs="宋体"/>
                <w:kern w:val="0"/>
                <w:sz w:val="24"/>
              </w:rPr>
            </w:pPr>
            <w:r>
              <w:rPr>
                <w:rFonts w:hint="eastAsia" w:ascii="宋体" w:hAnsi="宋体" w:cs="宋体"/>
                <w:kern w:val="0"/>
                <w:sz w:val="24"/>
              </w:rPr>
              <w:t>提供针对本项目的项目实施方案，包括但不限于：</w:t>
            </w:r>
          </w:p>
        </w:tc>
      </w:tr>
      <w:tr w14:paraId="212E61C1">
        <w:tblPrEx>
          <w:tblCellMar>
            <w:top w:w="0" w:type="dxa"/>
            <w:left w:w="108" w:type="dxa"/>
            <w:bottom w:w="0" w:type="dxa"/>
            <w:right w:w="108" w:type="dxa"/>
          </w:tblCellMar>
        </w:tblPrEx>
        <w:trPr>
          <w:trHeight w:val="285"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14:paraId="40BE7475">
            <w:pPr>
              <w:widowControl/>
              <w:jc w:val="center"/>
              <w:rPr>
                <w:rFonts w:ascii="宋体" w:hAnsi="宋体" w:cs="宋体"/>
                <w:b/>
                <w:bCs/>
                <w:kern w:val="0"/>
                <w:sz w:val="24"/>
              </w:rPr>
            </w:pPr>
            <w:r>
              <w:rPr>
                <w:rFonts w:ascii="宋体" w:hAnsi="宋体" w:cs="宋体"/>
                <w:b/>
                <w:bCs/>
                <w:kern w:val="0"/>
                <w:sz w:val="24"/>
              </w:rPr>
              <w:t>7.1</w:t>
            </w:r>
          </w:p>
        </w:tc>
        <w:tc>
          <w:tcPr>
            <w:tcW w:w="4418" w:type="dxa"/>
            <w:tcBorders>
              <w:top w:val="nil"/>
              <w:left w:val="nil"/>
              <w:bottom w:val="single" w:color="auto" w:sz="4" w:space="0"/>
              <w:right w:val="single" w:color="auto" w:sz="4" w:space="0"/>
            </w:tcBorders>
            <w:shd w:val="clear" w:color="auto" w:fill="auto"/>
            <w:noWrap/>
            <w:vAlign w:val="center"/>
          </w:tcPr>
          <w:p w14:paraId="658676FB">
            <w:pPr>
              <w:widowControl/>
              <w:jc w:val="left"/>
              <w:rPr>
                <w:rFonts w:ascii="宋体" w:hAnsi="宋体" w:cs="宋体"/>
                <w:kern w:val="0"/>
                <w:sz w:val="24"/>
              </w:rPr>
            </w:pPr>
            <w:r>
              <w:rPr>
                <w:rFonts w:hint="eastAsia" w:ascii="宋体" w:hAnsi="宋体" w:cs="宋体"/>
                <w:kern w:val="0"/>
                <w:sz w:val="24"/>
              </w:rPr>
              <w:t>有能够满足组织大中型国际、国内招标项目的场所</w:t>
            </w:r>
          </w:p>
        </w:tc>
        <w:tc>
          <w:tcPr>
            <w:tcW w:w="1252" w:type="dxa"/>
            <w:tcBorders>
              <w:top w:val="nil"/>
              <w:left w:val="nil"/>
              <w:bottom w:val="single" w:color="auto" w:sz="4" w:space="0"/>
              <w:right w:val="single" w:color="auto" w:sz="4" w:space="0"/>
            </w:tcBorders>
            <w:shd w:val="clear" w:color="auto" w:fill="auto"/>
            <w:noWrap/>
            <w:vAlign w:val="center"/>
          </w:tcPr>
          <w:p w14:paraId="728F6A26">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shd w:val="clear" w:color="auto" w:fill="auto"/>
            <w:noWrap/>
            <w:vAlign w:val="center"/>
          </w:tcPr>
          <w:p w14:paraId="02E83463">
            <w:pPr>
              <w:widowControl/>
              <w:jc w:val="left"/>
              <w:rPr>
                <w:rFonts w:ascii="宋体" w:hAnsi="宋体" w:cs="宋体"/>
                <w:kern w:val="0"/>
                <w:sz w:val="24"/>
              </w:rPr>
            </w:pPr>
            <w:r>
              <w:rPr>
                <w:rFonts w:hint="eastAsia" w:ascii="宋体" w:hAnsi="宋体" w:cs="宋体"/>
                <w:kern w:val="0"/>
                <w:sz w:val="24"/>
              </w:rPr>
              <w:t>　</w:t>
            </w:r>
          </w:p>
        </w:tc>
      </w:tr>
      <w:tr w14:paraId="17B7AB77">
        <w:tblPrEx>
          <w:tblCellMar>
            <w:top w:w="0" w:type="dxa"/>
            <w:left w:w="108" w:type="dxa"/>
            <w:bottom w:w="0" w:type="dxa"/>
            <w:right w:w="108" w:type="dxa"/>
          </w:tblCellMar>
        </w:tblPrEx>
        <w:trPr>
          <w:trHeight w:val="570"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14:paraId="0B68EDE7">
            <w:pPr>
              <w:widowControl/>
              <w:jc w:val="center"/>
              <w:rPr>
                <w:rFonts w:ascii="宋体" w:hAnsi="宋体" w:cs="宋体"/>
                <w:b/>
                <w:bCs/>
                <w:kern w:val="0"/>
                <w:sz w:val="24"/>
              </w:rPr>
            </w:pPr>
            <w:r>
              <w:rPr>
                <w:rFonts w:ascii="宋体" w:hAnsi="宋体" w:cs="宋体"/>
                <w:b/>
                <w:bCs/>
                <w:kern w:val="0"/>
                <w:sz w:val="24"/>
              </w:rPr>
              <w:t>7.2</w:t>
            </w:r>
          </w:p>
        </w:tc>
        <w:tc>
          <w:tcPr>
            <w:tcW w:w="4418" w:type="dxa"/>
            <w:tcBorders>
              <w:top w:val="nil"/>
              <w:left w:val="nil"/>
              <w:bottom w:val="single" w:color="auto" w:sz="4" w:space="0"/>
              <w:right w:val="single" w:color="auto" w:sz="4" w:space="0"/>
            </w:tcBorders>
            <w:shd w:val="clear" w:color="auto" w:fill="auto"/>
            <w:vAlign w:val="center"/>
          </w:tcPr>
          <w:p w14:paraId="537B77A8">
            <w:pPr>
              <w:widowControl/>
              <w:jc w:val="left"/>
              <w:rPr>
                <w:rFonts w:ascii="宋体" w:hAnsi="宋体" w:cs="宋体"/>
                <w:kern w:val="0"/>
                <w:sz w:val="24"/>
              </w:rPr>
            </w:pPr>
            <w:r>
              <w:rPr>
                <w:rFonts w:hint="eastAsia" w:ascii="宋体" w:hAnsi="宋体" w:cs="宋体"/>
                <w:kern w:val="0"/>
                <w:sz w:val="24"/>
              </w:rPr>
              <w:t>有完备的招标档案保管的管理办法和场所，纸质和电子档案同时保存；能提供招标档案查询、复印等服务；1小时内响应，4</w:t>
            </w:r>
            <w:r>
              <w:rPr>
                <w:rFonts w:ascii="宋体" w:hAnsi="宋体" w:cs="宋体"/>
                <w:kern w:val="0"/>
                <w:sz w:val="24"/>
              </w:rPr>
              <w:t>8</w:t>
            </w:r>
            <w:r>
              <w:rPr>
                <w:rFonts w:hint="eastAsia" w:ascii="宋体" w:hAnsi="宋体" w:cs="宋体"/>
                <w:kern w:val="0"/>
                <w:sz w:val="24"/>
              </w:rPr>
              <w:t>小时内完成</w:t>
            </w:r>
          </w:p>
        </w:tc>
        <w:tc>
          <w:tcPr>
            <w:tcW w:w="1252" w:type="dxa"/>
            <w:tcBorders>
              <w:top w:val="nil"/>
              <w:left w:val="nil"/>
              <w:bottom w:val="single" w:color="auto" w:sz="4" w:space="0"/>
              <w:right w:val="single" w:color="auto" w:sz="4" w:space="0"/>
            </w:tcBorders>
            <w:shd w:val="clear" w:color="auto" w:fill="auto"/>
            <w:noWrap/>
            <w:vAlign w:val="center"/>
          </w:tcPr>
          <w:p w14:paraId="42AA3F79">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shd w:val="clear" w:color="auto" w:fill="auto"/>
            <w:noWrap/>
            <w:vAlign w:val="center"/>
          </w:tcPr>
          <w:p w14:paraId="1851DDD3">
            <w:pPr>
              <w:widowControl/>
              <w:jc w:val="left"/>
              <w:rPr>
                <w:rFonts w:ascii="宋体" w:hAnsi="宋体" w:cs="宋体"/>
                <w:kern w:val="0"/>
                <w:sz w:val="24"/>
              </w:rPr>
            </w:pPr>
            <w:r>
              <w:rPr>
                <w:rFonts w:hint="eastAsia" w:ascii="宋体" w:hAnsi="宋体" w:cs="宋体"/>
                <w:kern w:val="0"/>
                <w:sz w:val="24"/>
              </w:rPr>
              <w:t>　</w:t>
            </w:r>
          </w:p>
        </w:tc>
      </w:tr>
      <w:tr w14:paraId="0F0C3234">
        <w:tblPrEx>
          <w:tblCellMar>
            <w:top w:w="0" w:type="dxa"/>
            <w:left w:w="108" w:type="dxa"/>
            <w:bottom w:w="0" w:type="dxa"/>
            <w:right w:w="108" w:type="dxa"/>
          </w:tblCellMar>
        </w:tblPrEx>
        <w:trPr>
          <w:trHeight w:val="570"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14:paraId="7C39B677">
            <w:pPr>
              <w:widowControl/>
              <w:jc w:val="center"/>
              <w:rPr>
                <w:rFonts w:ascii="宋体" w:hAnsi="宋体" w:cs="宋体"/>
                <w:b/>
                <w:bCs/>
                <w:kern w:val="0"/>
                <w:sz w:val="24"/>
              </w:rPr>
            </w:pPr>
            <w:r>
              <w:rPr>
                <w:rFonts w:ascii="宋体" w:hAnsi="宋体" w:cs="宋体"/>
                <w:b/>
                <w:bCs/>
                <w:kern w:val="0"/>
                <w:sz w:val="24"/>
              </w:rPr>
              <w:t>7.3</w:t>
            </w:r>
          </w:p>
        </w:tc>
        <w:tc>
          <w:tcPr>
            <w:tcW w:w="4418" w:type="dxa"/>
            <w:tcBorders>
              <w:top w:val="nil"/>
              <w:left w:val="nil"/>
              <w:bottom w:val="single" w:color="auto" w:sz="4" w:space="0"/>
              <w:right w:val="single" w:color="auto" w:sz="4" w:space="0"/>
            </w:tcBorders>
            <w:shd w:val="clear" w:color="auto" w:fill="auto"/>
            <w:vAlign w:val="center"/>
          </w:tcPr>
          <w:p w14:paraId="4D19E2F3">
            <w:pPr>
              <w:widowControl/>
              <w:jc w:val="left"/>
              <w:rPr>
                <w:rFonts w:ascii="宋体" w:hAnsi="宋体" w:cs="宋体"/>
                <w:kern w:val="0"/>
                <w:sz w:val="24"/>
              </w:rPr>
            </w:pPr>
            <w:r>
              <w:rPr>
                <w:rFonts w:hint="eastAsia" w:ascii="宋体" w:hAnsi="宋体" w:cs="宋体"/>
                <w:kern w:val="0"/>
                <w:sz w:val="24"/>
              </w:rPr>
              <w:t>有标书文件整合及审核的相关制度及流程，保证标书文件编制的规范</w:t>
            </w:r>
          </w:p>
        </w:tc>
        <w:tc>
          <w:tcPr>
            <w:tcW w:w="1252" w:type="dxa"/>
            <w:tcBorders>
              <w:top w:val="nil"/>
              <w:left w:val="nil"/>
              <w:bottom w:val="single" w:color="auto" w:sz="4" w:space="0"/>
              <w:right w:val="single" w:color="auto" w:sz="4" w:space="0"/>
            </w:tcBorders>
            <w:shd w:val="clear" w:color="auto" w:fill="auto"/>
            <w:noWrap/>
            <w:vAlign w:val="center"/>
          </w:tcPr>
          <w:p w14:paraId="75245785">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shd w:val="clear" w:color="auto" w:fill="auto"/>
            <w:noWrap/>
            <w:vAlign w:val="center"/>
          </w:tcPr>
          <w:p w14:paraId="0E3E81F4">
            <w:pPr>
              <w:widowControl/>
              <w:jc w:val="left"/>
              <w:rPr>
                <w:rFonts w:ascii="宋体" w:hAnsi="宋体" w:cs="宋体"/>
                <w:kern w:val="0"/>
                <w:sz w:val="24"/>
              </w:rPr>
            </w:pPr>
            <w:r>
              <w:rPr>
                <w:rFonts w:hint="eastAsia" w:ascii="宋体" w:hAnsi="宋体" w:cs="宋体"/>
                <w:kern w:val="0"/>
                <w:sz w:val="24"/>
              </w:rPr>
              <w:t>　</w:t>
            </w:r>
          </w:p>
        </w:tc>
      </w:tr>
      <w:tr w14:paraId="4F603C72">
        <w:tblPrEx>
          <w:tblCellMar>
            <w:top w:w="0" w:type="dxa"/>
            <w:left w:w="108" w:type="dxa"/>
            <w:bottom w:w="0" w:type="dxa"/>
            <w:right w:w="108" w:type="dxa"/>
          </w:tblCellMar>
        </w:tblPrEx>
        <w:trPr>
          <w:trHeight w:val="570"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14:paraId="61EEB015">
            <w:pPr>
              <w:widowControl/>
              <w:jc w:val="center"/>
              <w:rPr>
                <w:rFonts w:ascii="宋体" w:hAnsi="宋体" w:cs="宋体"/>
                <w:b/>
                <w:bCs/>
                <w:kern w:val="0"/>
                <w:sz w:val="24"/>
              </w:rPr>
            </w:pPr>
            <w:r>
              <w:rPr>
                <w:rFonts w:ascii="宋体" w:hAnsi="宋体" w:cs="宋体"/>
                <w:b/>
                <w:bCs/>
                <w:kern w:val="0"/>
                <w:sz w:val="24"/>
              </w:rPr>
              <w:t>7.4</w:t>
            </w:r>
          </w:p>
        </w:tc>
        <w:tc>
          <w:tcPr>
            <w:tcW w:w="4418" w:type="dxa"/>
            <w:tcBorders>
              <w:top w:val="nil"/>
              <w:left w:val="nil"/>
              <w:bottom w:val="single" w:color="auto" w:sz="4" w:space="0"/>
              <w:right w:val="single" w:color="auto" w:sz="4" w:space="0"/>
            </w:tcBorders>
            <w:shd w:val="clear" w:color="auto" w:fill="auto"/>
            <w:vAlign w:val="center"/>
          </w:tcPr>
          <w:p w14:paraId="1CE60281">
            <w:pPr>
              <w:widowControl/>
              <w:jc w:val="left"/>
              <w:rPr>
                <w:rFonts w:ascii="宋体" w:hAnsi="宋体" w:cs="宋体"/>
                <w:kern w:val="0"/>
                <w:sz w:val="24"/>
              </w:rPr>
            </w:pPr>
            <w:r>
              <w:rPr>
                <w:rFonts w:hint="eastAsia" w:ascii="宋体" w:hAnsi="宋体" w:cs="宋体"/>
                <w:kern w:val="0"/>
                <w:sz w:val="24"/>
              </w:rPr>
              <w:t>有完备的措施和预案，保障正常开标和招标过程的顺利进行（包括公开招标和院内谈判）</w:t>
            </w:r>
          </w:p>
        </w:tc>
        <w:tc>
          <w:tcPr>
            <w:tcW w:w="1252" w:type="dxa"/>
            <w:tcBorders>
              <w:top w:val="nil"/>
              <w:left w:val="nil"/>
              <w:bottom w:val="single" w:color="auto" w:sz="4" w:space="0"/>
              <w:right w:val="single" w:color="auto" w:sz="4" w:space="0"/>
            </w:tcBorders>
            <w:shd w:val="clear" w:color="auto" w:fill="auto"/>
            <w:noWrap/>
            <w:vAlign w:val="center"/>
          </w:tcPr>
          <w:p w14:paraId="3EFABF6B">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shd w:val="clear" w:color="auto" w:fill="auto"/>
            <w:noWrap/>
            <w:vAlign w:val="center"/>
          </w:tcPr>
          <w:p w14:paraId="348E3A52">
            <w:pPr>
              <w:widowControl/>
              <w:jc w:val="left"/>
              <w:rPr>
                <w:rFonts w:ascii="宋体" w:hAnsi="宋体" w:cs="宋体"/>
                <w:kern w:val="0"/>
                <w:sz w:val="24"/>
              </w:rPr>
            </w:pPr>
            <w:r>
              <w:rPr>
                <w:rFonts w:hint="eastAsia" w:ascii="宋体" w:hAnsi="宋体" w:cs="宋体"/>
                <w:kern w:val="0"/>
                <w:sz w:val="24"/>
              </w:rPr>
              <w:t>　</w:t>
            </w:r>
          </w:p>
        </w:tc>
      </w:tr>
      <w:tr w14:paraId="11979FB2">
        <w:tblPrEx>
          <w:tblCellMar>
            <w:top w:w="0" w:type="dxa"/>
            <w:left w:w="108" w:type="dxa"/>
            <w:bottom w:w="0" w:type="dxa"/>
            <w:right w:w="108" w:type="dxa"/>
          </w:tblCellMar>
        </w:tblPrEx>
        <w:trPr>
          <w:trHeight w:val="855"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14:paraId="39FBC764">
            <w:pPr>
              <w:widowControl/>
              <w:jc w:val="center"/>
              <w:rPr>
                <w:rFonts w:ascii="宋体" w:hAnsi="宋体" w:cs="宋体"/>
                <w:b/>
                <w:bCs/>
                <w:kern w:val="0"/>
                <w:sz w:val="24"/>
              </w:rPr>
            </w:pPr>
            <w:r>
              <w:rPr>
                <w:rFonts w:ascii="宋体" w:hAnsi="宋体" w:cs="宋体"/>
                <w:b/>
                <w:bCs/>
                <w:kern w:val="0"/>
                <w:sz w:val="24"/>
              </w:rPr>
              <w:t>8</w:t>
            </w:r>
          </w:p>
        </w:tc>
        <w:tc>
          <w:tcPr>
            <w:tcW w:w="4418" w:type="dxa"/>
            <w:tcBorders>
              <w:top w:val="nil"/>
              <w:left w:val="nil"/>
              <w:bottom w:val="single" w:color="auto" w:sz="4" w:space="0"/>
              <w:right w:val="single" w:color="auto" w:sz="4" w:space="0"/>
            </w:tcBorders>
            <w:shd w:val="clear" w:color="auto" w:fill="auto"/>
            <w:vAlign w:val="center"/>
          </w:tcPr>
          <w:p w14:paraId="0B1D2956">
            <w:pPr>
              <w:widowControl/>
              <w:jc w:val="left"/>
              <w:rPr>
                <w:rFonts w:ascii="宋体" w:hAnsi="宋体" w:cs="宋体"/>
                <w:kern w:val="0"/>
                <w:sz w:val="24"/>
              </w:rPr>
            </w:pPr>
            <w:r>
              <w:rPr>
                <w:rFonts w:hint="eastAsia" w:ascii="宋体" w:hAnsi="宋体" w:cs="宋体"/>
                <w:kern w:val="0"/>
                <w:sz w:val="24"/>
              </w:rPr>
              <w:t>典型案例介绍：招标项目的规模、招标项目的专业性、招标项目的完成情况。对近两年承接完成的某一个（或多个）国内、国际典型招标案例进行介绍。结合电子化招标系统，介绍申请人在招标投标领域人工智能推广应用情况。</w:t>
            </w:r>
          </w:p>
        </w:tc>
        <w:tc>
          <w:tcPr>
            <w:tcW w:w="1252" w:type="dxa"/>
            <w:tcBorders>
              <w:top w:val="nil"/>
              <w:left w:val="nil"/>
              <w:bottom w:val="single" w:color="auto" w:sz="4" w:space="0"/>
              <w:right w:val="single" w:color="auto" w:sz="4" w:space="0"/>
            </w:tcBorders>
            <w:shd w:val="clear" w:color="auto" w:fill="auto"/>
            <w:noWrap/>
            <w:vAlign w:val="center"/>
          </w:tcPr>
          <w:p w14:paraId="78C79231">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shd w:val="clear" w:color="auto" w:fill="auto"/>
            <w:noWrap/>
            <w:vAlign w:val="center"/>
          </w:tcPr>
          <w:p w14:paraId="1B406CB8">
            <w:pPr>
              <w:widowControl/>
              <w:jc w:val="left"/>
              <w:rPr>
                <w:rFonts w:ascii="宋体" w:hAnsi="宋体" w:cs="宋体"/>
                <w:kern w:val="0"/>
                <w:sz w:val="24"/>
              </w:rPr>
            </w:pPr>
            <w:r>
              <w:rPr>
                <w:rFonts w:hint="eastAsia" w:ascii="宋体" w:hAnsi="宋体" w:cs="宋体"/>
                <w:kern w:val="0"/>
                <w:sz w:val="24"/>
              </w:rPr>
              <w:t>　</w:t>
            </w:r>
          </w:p>
        </w:tc>
      </w:tr>
      <w:tr w14:paraId="2E5F826E">
        <w:tblPrEx>
          <w:tblCellMar>
            <w:top w:w="0" w:type="dxa"/>
            <w:left w:w="108" w:type="dxa"/>
            <w:bottom w:w="0" w:type="dxa"/>
            <w:right w:w="108" w:type="dxa"/>
          </w:tblCellMar>
        </w:tblPrEx>
        <w:trPr>
          <w:trHeight w:val="285"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14:paraId="00D622C5">
            <w:pPr>
              <w:widowControl/>
              <w:jc w:val="center"/>
              <w:rPr>
                <w:rFonts w:ascii="宋体" w:hAnsi="宋体" w:cs="宋体"/>
                <w:b/>
                <w:bCs/>
                <w:kern w:val="0"/>
                <w:sz w:val="24"/>
              </w:rPr>
            </w:pPr>
            <w:r>
              <w:rPr>
                <w:rFonts w:ascii="宋体" w:hAnsi="宋体" w:cs="宋体"/>
                <w:b/>
                <w:bCs/>
                <w:kern w:val="0"/>
                <w:sz w:val="24"/>
              </w:rPr>
              <w:t>9</w:t>
            </w:r>
          </w:p>
        </w:tc>
        <w:tc>
          <w:tcPr>
            <w:tcW w:w="4418" w:type="dxa"/>
            <w:tcBorders>
              <w:top w:val="nil"/>
              <w:left w:val="nil"/>
              <w:bottom w:val="single" w:color="auto" w:sz="4" w:space="0"/>
              <w:right w:val="single" w:color="auto" w:sz="4" w:space="0"/>
            </w:tcBorders>
            <w:shd w:val="clear" w:color="auto" w:fill="auto"/>
            <w:noWrap/>
            <w:vAlign w:val="center"/>
          </w:tcPr>
          <w:p w14:paraId="32008E66">
            <w:pPr>
              <w:widowControl/>
              <w:jc w:val="left"/>
              <w:rPr>
                <w:rFonts w:ascii="宋体" w:hAnsi="宋体" w:cs="宋体"/>
                <w:kern w:val="0"/>
                <w:sz w:val="24"/>
              </w:rPr>
            </w:pPr>
            <w:r>
              <w:rPr>
                <w:rFonts w:hint="eastAsia" w:ascii="宋体" w:hAnsi="宋体" w:cs="宋体"/>
                <w:kern w:val="0"/>
                <w:sz w:val="24"/>
              </w:rPr>
              <w:t>服务承诺：双方责任和义务承诺、工作保密承诺等。</w:t>
            </w:r>
            <w:r>
              <w:rPr>
                <w:rFonts w:hint="eastAsia" w:ascii="宋体" w:hAnsi="宋体" w:cs="仿宋_GB2312"/>
                <w:color w:val="000000"/>
                <w:sz w:val="24"/>
              </w:rPr>
              <w:t>招标文件售价应当限于补偿印刷、按照弥补制作、邮寄成本的原则确定，不得以营利为目的，提供</w:t>
            </w:r>
            <w:r>
              <w:rPr>
                <w:rFonts w:ascii="宋体" w:hAnsi="宋体" w:cs="仿宋_GB2312"/>
                <w:color w:val="000000"/>
                <w:sz w:val="24"/>
              </w:rPr>
              <w:t>相关承诺</w:t>
            </w:r>
          </w:p>
        </w:tc>
        <w:tc>
          <w:tcPr>
            <w:tcW w:w="1252" w:type="dxa"/>
            <w:tcBorders>
              <w:top w:val="nil"/>
              <w:left w:val="nil"/>
              <w:bottom w:val="single" w:color="auto" w:sz="4" w:space="0"/>
              <w:right w:val="single" w:color="auto" w:sz="4" w:space="0"/>
            </w:tcBorders>
            <w:shd w:val="clear" w:color="auto" w:fill="auto"/>
            <w:noWrap/>
            <w:vAlign w:val="center"/>
          </w:tcPr>
          <w:p w14:paraId="5A63A6B0">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shd w:val="clear" w:color="auto" w:fill="auto"/>
            <w:noWrap/>
            <w:vAlign w:val="center"/>
          </w:tcPr>
          <w:p w14:paraId="3BFE85CB">
            <w:pPr>
              <w:widowControl/>
              <w:jc w:val="left"/>
              <w:rPr>
                <w:rFonts w:ascii="宋体" w:hAnsi="宋体" w:cs="宋体"/>
                <w:kern w:val="0"/>
                <w:sz w:val="24"/>
              </w:rPr>
            </w:pPr>
            <w:r>
              <w:rPr>
                <w:rFonts w:hint="eastAsia" w:ascii="宋体" w:hAnsi="宋体" w:cs="宋体"/>
                <w:kern w:val="0"/>
                <w:sz w:val="24"/>
              </w:rPr>
              <w:t>　</w:t>
            </w:r>
          </w:p>
        </w:tc>
      </w:tr>
      <w:tr w14:paraId="1EFA1A47">
        <w:tblPrEx>
          <w:tblCellMar>
            <w:top w:w="0" w:type="dxa"/>
            <w:left w:w="108" w:type="dxa"/>
            <w:bottom w:w="0" w:type="dxa"/>
            <w:right w:w="108" w:type="dxa"/>
          </w:tblCellMar>
        </w:tblPrEx>
        <w:trPr>
          <w:trHeight w:val="285"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14:paraId="75FFAD0E">
            <w:pPr>
              <w:widowControl/>
              <w:jc w:val="center"/>
              <w:rPr>
                <w:rFonts w:ascii="宋体" w:hAnsi="宋体" w:cs="宋体"/>
                <w:b/>
                <w:bCs/>
                <w:kern w:val="0"/>
                <w:sz w:val="24"/>
              </w:rPr>
            </w:pPr>
            <w:r>
              <w:rPr>
                <w:rFonts w:hint="eastAsia" w:ascii="宋体" w:hAnsi="宋体" w:cs="宋体"/>
                <w:b/>
                <w:bCs/>
                <w:kern w:val="0"/>
                <w:sz w:val="24"/>
              </w:rPr>
              <w:t>1</w:t>
            </w:r>
            <w:r>
              <w:rPr>
                <w:rFonts w:ascii="宋体" w:hAnsi="宋体" w:cs="宋体"/>
                <w:b/>
                <w:bCs/>
                <w:kern w:val="0"/>
                <w:sz w:val="24"/>
              </w:rPr>
              <w:t>0</w:t>
            </w:r>
          </w:p>
        </w:tc>
        <w:tc>
          <w:tcPr>
            <w:tcW w:w="4418" w:type="dxa"/>
            <w:tcBorders>
              <w:top w:val="nil"/>
              <w:left w:val="nil"/>
              <w:bottom w:val="single" w:color="auto" w:sz="4" w:space="0"/>
              <w:right w:val="single" w:color="auto" w:sz="4" w:space="0"/>
            </w:tcBorders>
            <w:shd w:val="clear" w:color="auto" w:fill="auto"/>
            <w:noWrap/>
            <w:vAlign w:val="center"/>
          </w:tcPr>
          <w:p w14:paraId="6C9EEC37">
            <w:pPr>
              <w:widowControl/>
              <w:jc w:val="left"/>
              <w:rPr>
                <w:rFonts w:ascii="宋体" w:hAnsi="宋体" w:cs="宋体"/>
                <w:kern w:val="0"/>
                <w:sz w:val="24"/>
              </w:rPr>
            </w:pPr>
            <w:r>
              <w:rPr>
                <w:rFonts w:hint="eastAsia" w:ascii="宋体" w:hAnsi="宋体" w:cs="宋体"/>
                <w:kern w:val="0"/>
                <w:sz w:val="24"/>
              </w:rPr>
              <w:t>招标咨询增值服务承诺：为遴选人提供一年5次免费招标咨询服务，每次服务内容包括招标文件整理和组织评审，不包含其他费用支出</w:t>
            </w:r>
          </w:p>
        </w:tc>
        <w:tc>
          <w:tcPr>
            <w:tcW w:w="1252" w:type="dxa"/>
            <w:tcBorders>
              <w:top w:val="nil"/>
              <w:left w:val="nil"/>
              <w:bottom w:val="single" w:color="auto" w:sz="4" w:space="0"/>
              <w:right w:val="single" w:color="auto" w:sz="4" w:space="0"/>
            </w:tcBorders>
            <w:shd w:val="clear" w:color="auto" w:fill="auto"/>
            <w:noWrap/>
            <w:vAlign w:val="center"/>
          </w:tcPr>
          <w:p w14:paraId="27D8FD2F">
            <w:pPr>
              <w:widowControl/>
              <w:jc w:val="left"/>
              <w:rPr>
                <w:rFonts w:ascii="宋体" w:hAnsi="宋体" w:cs="宋体"/>
                <w:kern w:val="0"/>
                <w:sz w:val="24"/>
              </w:rPr>
            </w:pPr>
          </w:p>
        </w:tc>
        <w:tc>
          <w:tcPr>
            <w:tcW w:w="1751" w:type="dxa"/>
            <w:tcBorders>
              <w:top w:val="nil"/>
              <w:left w:val="nil"/>
              <w:bottom w:val="single" w:color="auto" w:sz="4" w:space="0"/>
              <w:right w:val="single" w:color="auto" w:sz="4" w:space="0"/>
            </w:tcBorders>
            <w:shd w:val="clear" w:color="auto" w:fill="auto"/>
            <w:noWrap/>
            <w:vAlign w:val="center"/>
          </w:tcPr>
          <w:p w14:paraId="4A75A9A6">
            <w:pPr>
              <w:widowControl/>
              <w:jc w:val="left"/>
              <w:rPr>
                <w:rFonts w:ascii="宋体" w:hAnsi="宋体" w:cs="宋体"/>
                <w:kern w:val="0"/>
                <w:sz w:val="24"/>
              </w:rPr>
            </w:pPr>
          </w:p>
        </w:tc>
      </w:tr>
      <w:tr w14:paraId="5AF0380A">
        <w:tblPrEx>
          <w:tblCellMar>
            <w:top w:w="0" w:type="dxa"/>
            <w:left w:w="108" w:type="dxa"/>
            <w:bottom w:w="0" w:type="dxa"/>
            <w:right w:w="108" w:type="dxa"/>
          </w:tblCellMar>
        </w:tblPrEx>
        <w:trPr>
          <w:trHeight w:val="285"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14:paraId="211B8CF4">
            <w:pPr>
              <w:widowControl/>
              <w:jc w:val="center"/>
              <w:rPr>
                <w:rFonts w:ascii="宋体" w:hAnsi="宋体" w:cs="宋体"/>
                <w:b/>
                <w:bCs/>
                <w:kern w:val="0"/>
                <w:sz w:val="24"/>
              </w:rPr>
            </w:pPr>
            <w:r>
              <w:rPr>
                <w:rFonts w:ascii="宋体" w:hAnsi="宋体" w:cs="宋体"/>
                <w:b/>
                <w:bCs/>
                <w:kern w:val="0"/>
                <w:sz w:val="24"/>
              </w:rPr>
              <w:t>11</w:t>
            </w:r>
          </w:p>
        </w:tc>
        <w:tc>
          <w:tcPr>
            <w:tcW w:w="4418" w:type="dxa"/>
            <w:tcBorders>
              <w:top w:val="nil"/>
              <w:left w:val="nil"/>
              <w:bottom w:val="single" w:color="auto" w:sz="4" w:space="0"/>
              <w:right w:val="single" w:color="auto" w:sz="4" w:space="0"/>
            </w:tcBorders>
            <w:shd w:val="clear" w:color="auto" w:fill="auto"/>
            <w:noWrap/>
            <w:vAlign w:val="center"/>
          </w:tcPr>
          <w:p w14:paraId="38FB420F">
            <w:pPr>
              <w:widowControl/>
              <w:jc w:val="left"/>
              <w:rPr>
                <w:rFonts w:ascii="宋体" w:hAnsi="宋体" w:cs="宋体"/>
                <w:kern w:val="0"/>
                <w:sz w:val="24"/>
              </w:rPr>
            </w:pPr>
            <w:r>
              <w:rPr>
                <w:rFonts w:hint="eastAsia" w:ascii="宋体" w:hAnsi="宋体" w:cs="宋体"/>
                <w:kern w:val="0"/>
                <w:sz w:val="24"/>
              </w:rPr>
              <w:t>申请人认为需要加以说明的其他内容</w:t>
            </w:r>
          </w:p>
        </w:tc>
        <w:tc>
          <w:tcPr>
            <w:tcW w:w="1252" w:type="dxa"/>
            <w:tcBorders>
              <w:top w:val="nil"/>
              <w:left w:val="nil"/>
              <w:bottom w:val="single" w:color="auto" w:sz="4" w:space="0"/>
              <w:right w:val="single" w:color="auto" w:sz="4" w:space="0"/>
            </w:tcBorders>
            <w:shd w:val="clear" w:color="auto" w:fill="auto"/>
            <w:noWrap/>
            <w:vAlign w:val="center"/>
          </w:tcPr>
          <w:p w14:paraId="1A2215FD">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shd w:val="clear" w:color="auto" w:fill="auto"/>
            <w:noWrap/>
            <w:vAlign w:val="center"/>
          </w:tcPr>
          <w:p w14:paraId="28B24AE7">
            <w:pPr>
              <w:widowControl/>
              <w:jc w:val="left"/>
              <w:rPr>
                <w:rFonts w:ascii="宋体" w:hAnsi="宋体" w:cs="宋体"/>
                <w:kern w:val="0"/>
                <w:sz w:val="24"/>
              </w:rPr>
            </w:pPr>
            <w:r>
              <w:rPr>
                <w:rFonts w:hint="eastAsia" w:ascii="宋体" w:hAnsi="宋体" w:cs="宋体"/>
                <w:kern w:val="0"/>
                <w:sz w:val="24"/>
              </w:rPr>
              <w:t>　</w:t>
            </w:r>
          </w:p>
        </w:tc>
      </w:tr>
    </w:tbl>
    <w:p w14:paraId="5E18ACA7">
      <w:pPr>
        <w:spacing w:line="360" w:lineRule="auto"/>
        <w:rPr>
          <w:rFonts w:ascii="宋体" w:hAnsi="宋体"/>
          <w:sz w:val="24"/>
          <w:szCs w:val="24"/>
        </w:rPr>
      </w:pPr>
      <w:r>
        <w:rPr>
          <w:rFonts w:ascii="宋体" w:hAnsi="宋体"/>
          <w:sz w:val="24"/>
          <w:szCs w:val="24"/>
        </w:rPr>
        <w:t>7.1 遴选人拒绝接受以电报、电话、传真、电子邮件等形式参加遴选。</w:t>
      </w:r>
    </w:p>
    <w:p w14:paraId="480119CE">
      <w:pPr>
        <w:spacing w:line="360" w:lineRule="auto"/>
        <w:rPr>
          <w:rFonts w:ascii="宋体" w:hAnsi="宋体"/>
          <w:sz w:val="24"/>
          <w:szCs w:val="24"/>
        </w:rPr>
      </w:pPr>
      <w:r>
        <w:rPr>
          <w:rFonts w:ascii="宋体" w:hAnsi="宋体"/>
          <w:sz w:val="24"/>
          <w:szCs w:val="24"/>
        </w:rPr>
        <w:t>7.2 遴选申请文件应采用胶装方式，不得采用活页装订。</w:t>
      </w:r>
    </w:p>
    <w:p w14:paraId="16541D39">
      <w:pPr>
        <w:spacing w:line="360" w:lineRule="auto"/>
        <w:rPr>
          <w:rFonts w:ascii="宋体" w:hAnsi="宋体"/>
          <w:sz w:val="24"/>
          <w:szCs w:val="24"/>
        </w:rPr>
      </w:pPr>
      <w:r>
        <w:rPr>
          <w:rFonts w:ascii="宋体" w:hAnsi="宋体"/>
          <w:sz w:val="24"/>
          <w:szCs w:val="24"/>
        </w:rPr>
        <w:t>7.3申请人应将遴选申请文件正本和所有的副本及电子文档密封于一个密封袋中，且在密封袋上标明项目名称、申请人名称、地址、电话并加盖申请人公章和法定代表人印鉴或授权代理人签字，并密封。</w:t>
      </w:r>
    </w:p>
    <w:p w14:paraId="35301009">
      <w:pPr>
        <w:adjustRightInd w:val="0"/>
        <w:snapToGrid w:val="0"/>
        <w:spacing w:line="360" w:lineRule="auto"/>
        <w:rPr>
          <w:rFonts w:ascii="宋体" w:hAnsi="宋体"/>
          <w:b/>
          <w:sz w:val="24"/>
          <w:szCs w:val="24"/>
        </w:rPr>
      </w:pPr>
      <w:r>
        <w:rPr>
          <w:rFonts w:ascii="宋体" w:hAnsi="宋体"/>
          <w:b/>
          <w:sz w:val="24"/>
          <w:szCs w:val="24"/>
        </w:rPr>
        <w:t>8</w:t>
      </w:r>
      <w:r>
        <w:rPr>
          <w:rFonts w:hint="eastAsia" w:ascii="宋体" w:hAnsi="宋体"/>
          <w:b/>
          <w:sz w:val="24"/>
          <w:szCs w:val="24"/>
        </w:rPr>
        <w:t>.申请文件的编制</w:t>
      </w:r>
    </w:p>
    <w:p w14:paraId="3589A6B0">
      <w:pPr>
        <w:adjustRightInd w:val="0"/>
        <w:snapToGrid w:val="0"/>
        <w:spacing w:line="360" w:lineRule="auto"/>
        <w:rPr>
          <w:rFonts w:ascii="宋体" w:hAnsi="宋体"/>
          <w:sz w:val="24"/>
          <w:szCs w:val="24"/>
        </w:rPr>
      </w:pPr>
      <w:bookmarkStart w:id="15" w:name="_Toc181544920"/>
      <w:r>
        <w:rPr>
          <w:rFonts w:ascii="宋体" w:hAnsi="宋体"/>
          <w:sz w:val="24"/>
          <w:szCs w:val="24"/>
        </w:rPr>
        <w:t>8</w:t>
      </w:r>
      <w:r>
        <w:rPr>
          <w:rFonts w:hint="eastAsia" w:ascii="宋体" w:hAnsi="宋体"/>
          <w:sz w:val="24"/>
          <w:szCs w:val="24"/>
        </w:rPr>
        <w:t>.1遴选申请文件</w:t>
      </w:r>
      <w:bookmarkEnd w:id="15"/>
      <w:bookmarkStart w:id="16" w:name="_Toc181544921"/>
      <w:r>
        <w:rPr>
          <w:rFonts w:hint="eastAsia" w:ascii="宋体" w:hAnsi="宋体"/>
          <w:sz w:val="24"/>
          <w:szCs w:val="24"/>
        </w:rPr>
        <w:t>及申请人和遴选人之间来往的函件等文件，均应使用简体中文。</w:t>
      </w:r>
      <w:bookmarkEnd w:id="16"/>
    </w:p>
    <w:p w14:paraId="7CCC70EC">
      <w:pPr>
        <w:adjustRightInd w:val="0"/>
        <w:snapToGrid w:val="0"/>
        <w:spacing w:line="360" w:lineRule="auto"/>
        <w:rPr>
          <w:rFonts w:ascii="宋体" w:hAnsi="宋体"/>
          <w:sz w:val="24"/>
          <w:szCs w:val="24"/>
        </w:rPr>
      </w:pPr>
      <w:bookmarkStart w:id="17" w:name="_Toc181544922"/>
      <w:r>
        <w:rPr>
          <w:rFonts w:ascii="宋体" w:hAnsi="宋体"/>
          <w:sz w:val="24"/>
          <w:szCs w:val="24"/>
        </w:rPr>
        <w:t>8</w:t>
      </w:r>
      <w:r>
        <w:rPr>
          <w:rFonts w:hint="eastAsia" w:ascii="宋体" w:hAnsi="宋体"/>
          <w:sz w:val="24"/>
          <w:szCs w:val="24"/>
        </w:rPr>
        <w:t>.2遴选申请文件的组成</w:t>
      </w:r>
      <w:bookmarkEnd w:id="17"/>
    </w:p>
    <w:p w14:paraId="4A14F669">
      <w:pPr>
        <w:adjustRightInd w:val="0"/>
        <w:snapToGrid w:val="0"/>
        <w:spacing w:line="360" w:lineRule="auto"/>
        <w:rPr>
          <w:rFonts w:ascii="宋体" w:hAnsi="宋体"/>
          <w:sz w:val="24"/>
          <w:szCs w:val="24"/>
        </w:rPr>
      </w:pPr>
      <w:bookmarkStart w:id="18" w:name="_Toc181544923"/>
      <w:r>
        <w:rPr>
          <w:rFonts w:ascii="宋体" w:hAnsi="宋体"/>
          <w:sz w:val="24"/>
          <w:szCs w:val="24"/>
        </w:rPr>
        <w:t>8</w:t>
      </w:r>
      <w:r>
        <w:rPr>
          <w:rFonts w:hint="eastAsia" w:ascii="宋体" w:hAnsi="宋体"/>
          <w:sz w:val="24"/>
          <w:szCs w:val="24"/>
        </w:rPr>
        <w:t>.2.1申请人递交的遴选申请文件由本文件</w:t>
      </w:r>
      <w:r>
        <w:rPr>
          <w:rFonts w:ascii="宋体" w:hAnsi="宋体"/>
          <w:sz w:val="24"/>
        </w:rPr>
        <w:t>中</w:t>
      </w:r>
      <w:r>
        <w:rPr>
          <w:rFonts w:hint="eastAsia" w:ascii="宋体" w:hAnsi="宋体"/>
          <w:sz w:val="24"/>
          <w:szCs w:val="24"/>
        </w:rPr>
        <w:t>所列的文件组成，申请人应按格式内容进行填写，必要时，申请人可以按照同样格式加以扩展，但不得修改格式内容。</w:t>
      </w:r>
      <w:bookmarkEnd w:id="18"/>
    </w:p>
    <w:p w14:paraId="213DEA8B">
      <w:pPr>
        <w:spacing w:line="360" w:lineRule="auto"/>
        <w:rPr>
          <w:rFonts w:ascii="宋体" w:hAnsi="宋体"/>
          <w:sz w:val="24"/>
          <w:szCs w:val="24"/>
        </w:rPr>
      </w:pPr>
      <w:bookmarkStart w:id="19" w:name="_Toc181544924"/>
      <w:r>
        <w:rPr>
          <w:rFonts w:ascii="宋体" w:hAnsi="宋体"/>
          <w:sz w:val="24"/>
          <w:szCs w:val="24"/>
        </w:rPr>
        <w:t>8</w:t>
      </w:r>
      <w:r>
        <w:rPr>
          <w:rFonts w:hint="eastAsia" w:ascii="宋体" w:hAnsi="宋体"/>
          <w:sz w:val="24"/>
          <w:szCs w:val="24"/>
        </w:rPr>
        <w:t>.2.2 如果遴选申请文件由委托代理人签署时，应同时提交申请人法定代表人签署的授权委托书及被授权人身份证复印件加盖公章，作为遴选申请文件的一部分。</w:t>
      </w:r>
      <w:bookmarkEnd w:id="19"/>
    </w:p>
    <w:p w14:paraId="5F5BAC83">
      <w:pPr>
        <w:adjustRightInd w:val="0"/>
        <w:snapToGrid w:val="0"/>
        <w:spacing w:line="360" w:lineRule="auto"/>
        <w:rPr>
          <w:rFonts w:ascii="宋体" w:hAnsi="宋体"/>
          <w:sz w:val="24"/>
          <w:szCs w:val="24"/>
        </w:rPr>
      </w:pPr>
      <w:r>
        <w:rPr>
          <w:rFonts w:ascii="宋体" w:hAnsi="宋体"/>
          <w:sz w:val="24"/>
          <w:szCs w:val="24"/>
        </w:rPr>
        <w:t>8.3</w:t>
      </w:r>
      <w:r>
        <w:rPr>
          <w:rFonts w:hint="eastAsia" w:ascii="宋体" w:hAnsi="宋体"/>
          <w:sz w:val="24"/>
          <w:szCs w:val="24"/>
        </w:rPr>
        <w:t>本遴选文件内容中近三年均为</w:t>
      </w:r>
      <w:r>
        <w:rPr>
          <w:rFonts w:ascii="宋体" w:hAnsi="宋体"/>
          <w:sz w:val="24"/>
          <w:szCs w:val="24"/>
        </w:rPr>
        <w:t xml:space="preserve"> 202</w:t>
      </w:r>
      <w:r>
        <w:rPr>
          <w:rFonts w:hint="eastAsia" w:ascii="宋体" w:hAnsi="宋体"/>
          <w:sz w:val="24"/>
          <w:szCs w:val="24"/>
        </w:rPr>
        <w:t>3年</w:t>
      </w:r>
      <w:r>
        <w:rPr>
          <w:rFonts w:ascii="宋体" w:hAnsi="宋体"/>
          <w:sz w:val="24"/>
          <w:szCs w:val="24"/>
        </w:rPr>
        <w:t>7</w:t>
      </w:r>
      <w:r>
        <w:rPr>
          <w:rFonts w:hint="eastAsia" w:ascii="宋体" w:hAnsi="宋体"/>
          <w:sz w:val="24"/>
          <w:szCs w:val="24"/>
        </w:rPr>
        <w:t>月</w:t>
      </w:r>
      <w:r>
        <w:rPr>
          <w:rFonts w:ascii="宋体" w:hAnsi="宋体"/>
          <w:sz w:val="24"/>
          <w:szCs w:val="24"/>
        </w:rPr>
        <w:t>1</w:t>
      </w:r>
      <w:r>
        <w:rPr>
          <w:rFonts w:hint="eastAsia" w:ascii="宋体" w:hAnsi="宋体"/>
          <w:sz w:val="24"/>
          <w:szCs w:val="24"/>
        </w:rPr>
        <w:t>日至今。</w:t>
      </w:r>
    </w:p>
    <w:p w14:paraId="5AF60B82">
      <w:pPr>
        <w:spacing w:line="360" w:lineRule="auto"/>
        <w:rPr>
          <w:rFonts w:ascii="宋体" w:hAnsi="宋体"/>
          <w:b/>
          <w:sz w:val="24"/>
        </w:rPr>
      </w:pPr>
      <w:r>
        <w:rPr>
          <w:rFonts w:ascii="宋体" w:hAnsi="宋体"/>
          <w:b/>
          <w:sz w:val="24"/>
        </w:rPr>
        <w:t>9</w:t>
      </w:r>
      <w:r>
        <w:rPr>
          <w:rFonts w:hint="eastAsia" w:ascii="宋体" w:hAnsi="宋体"/>
          <w:b/>
          <w:sz w:val="24"/>
        </w:rPr>
        <w:t>.遴选报价</w:t>
      </w:r>
    </w:p>
    <w:p w14:paraId="2C2465FA">
      <w:pPr>
        <w:spacing w:line="360" w:lineRule="auto"/>
        <w:rPr>
          <w:rFonts w:ascii="宋体" w:hAnsi="宋体"/>
          <w:sz w:val="24"/>
          <w:szCs w:val="24"/>
        </w:rPr>
      </w:pPr>
      <w:bookmarkStart w:id="20" w:name="_Toc181544928"/>
      <w:r>
        <w:rPr>
          <w:rFonts w:ascii="宋体" w:hAnsi="宋体"/>
          <w:sz w:val="24"/>
          <w:szCs w:val="24"/>
        </w:rPr>
        <w:t>9</w:t>
      </w:r>
      <w:r>
        <w:rPr>
          <w:rFonts w:hint="eastAsia" w:ascii="宋体" w:hAnsi="宋体"/>
          <w:sz w:val="24"/>
          <w:szCs w:val="24"/>
        </w:rPr>
        <w:t>.1</w:t>
      </w:r>
      <w:bookmarkEnd w:id="20"/>
      <w:bookmarkStart w:id="21" w:name="_Toc181544933"/>
      <w:r>
        <w:rPr>
          <w:rFonts w:hint="eastAsia" w:ascii="宋体" w:hAnsi="宋体"/>
          <w:sz w:val="24"/>
          <w:szCs w:val="24"/>
        </w:rPr>
        <w:t>招标代理服务费参照原《国家发展计划小组</w:t>
      </w:r>
      <w:r>
        <w:rPr>
          <w:rFonts w:ascii="宋体" w:hAnsi="宋体"/>
          <w:sz w:val="24"/>
          <w:szCs w:val="24"/>
        </w:rPr>
        <w:t>&lt;</w:t>
      </w:r>
      <w:r>
        <w:rPr>
          <w:rFonts w:hint="eastAsia" w:ascii="宋体" w:hAnsi="宋体"/>
          <w:sz w:val="24"/>
          <w:szCs w:val="24"/>
        </w:rPr>
        <w:t>招标代理服务收费管理办法</w:t>
      </w:r>
      <w:r>
        <w:rPr>
          <w:rFonts w:ascii="宋体" w:hAnsi="宋体"/>
          <w:sz w:val="24"/>
          <w:szCs w:val="24"/>
        </w:rPr>
        <w:t>&gt;》（计价格〔2002〕1980号）及《关于</w:t>
      </w:r>
      <w:r>
        <w:rPr>
          <w:rFonts w:hint="eastAsia" w:ascii="宋体" w:hAnsi="宋体"/>
          <w:sz w:val="24"/>
          <w:szCs w:val="24"/>
        </w:rPr>
        <w:t>招标代理服务收费有关问题的通知》（发改办价格</w:t>
      </w:r>
      <w:r>
        <w:rPr>
          <w:rFonts w:ascii="宋体" w:hAnsi="宋体"/>
          <w:sz w:val="24"/>
          <w:szCs w:val="24"/>
        </w:rPr>
        <w:t>[2003]857</w:t>
      </w:r>
      <w:r>
        <w:rPr>
          <w:rFonts w:hint="eastAsia" w:ascii="宋体" w:hAnsi="宋体"/>
          <w:sz w:val="24"/>
          <w:szCs w:val="24"/>
        </w:rPr>
        <w:t>号）文、并结合</w:t>
      </w:r>
      <w:r>
        <w:rPr>
          <w:rFonts w:ascii="宋体" w:hAnsi="宋体"/>
          <w:sz w:val="24"/>
          <w:szCs w:val="24"/>
        </w:rPr>
        <w:t>发改价格[2015]299号</w:t>
      </w:r>
      <w:r>
        <w:rPr>
          <w:rFonts w:hint="eastAsia" w:ascii="宋体" w:hAnsi="宋体"/>
          <w:sz w:val="24"/>
          <w:szCs w:val="24"/>
        </w:rPr>
        <w:t>，自主报价。</w:t>
      </w:r>
    </w:p>
    <w:p w14:paraId="0B68E2F1">
      <w:pPr>
        <w:adjustRightInd w:val="0"/>
        <w:snapToGrid w:val="0"/>
        <w:spacing w:line="360" w:lineRule="auto"/>
        <w:rPr>
          <w:rFonts w:ascii="宋体" w:hAnsi="宋体"/>
          <w:sz w:val="24"/>
          <w:szCs w:val="24"/>
        </w:rPr>
      </w:pPr>
      <w:bookmarkStart w:id="22" w:name="_Hlk46163435"/>
      <w:r>
        <w:rPr>
          <w:rFonts w:ascii="宋体" w:hAnsi="宋体"/>
          <w:sz w:val="24"/>
          <w:szCs w:val="24"/>
        </w:rPr>
        <w:t>9</w:t>
      </w:r>
      <w:r>
        <w:rPr>
          <w:rFonts w:hint="eastAsia" w:ascii="宋体" w:hAnsi="宋体"/>
          <w:sz w:val="24"/>
          <w:szCs w:val="24"/>
        </w:rPr>
        <w:t>.</w:t>
      </w:r>
      <w:r>
        <w:rPr>
          <w:rFonts w:ascii="宋体" w:hAnsi="宋体"/>
          <w:sz w:val="24"/>
          <w:szCs w:val="24"/>
        </w:rPr>
        <w:t>2</w:t>
      </w:r>
      <w:r>
        <w:rPr>
          <w:rFonts w:hint="eastAsia" w:ascii="宋体" w:hAnsi="宋体"/>
          <w:sz w:val="24"/>
          <w:szCs w:val="24"/>
        </w:rPr>
        <w:t xml:space="preserve"> 报价中含资审和评标阶段专家的评审费用。</w:t>
      </w:r>
    </w:p>
    <w:p w14:paraId="51D6F717">
      <w:pPr>
        <w:adjustRightInd w:val="0"/>
        <w:snapToGrid w:val="0"/>
        <w:spacing w:line="360" w:lineRule="auto"/>
        <w:rPr>
          <w:rFonts w:ascii="宋体" w:hAnsi="宋体"/>
          <w:sz w:val="24"/>
          <w:szCs w:val="24"/>
        </w:rPr>
      </w:pPr>
      <w:r>
        <w:rPr>
          <w:rFonts w:ascii="宋体" w:hAnsi="宋体"/>
          <w:sz w:val="24"/>
          <w:szCs w:val="24"/>
        </w:rPr>
        <w:t>9</w:t>
      </w:r>
      <w:r>
        <w:rPr>
          <w:rFonts w:hint="eastAsia" w:ascii="宋体" w:hAnsi="宋体"/>
          <w:sz w:val="24"/>
          <w:szCs w:val="24"/>
        </w:rPr>
        <w:t>.</w:t>
      </w:r>
      <w:r>
        <w:rPr>
          <w:rFonts w:ascii="宋体" w:hAnsi="宋体"/>
          <w:sz w:val="24"/>
          <w:szCs w:val="24"/>
        </w:rPr>
        <w:t>3</w:t>
      </w:r>
      <w:r>
        <w:rPr>
          <w:rFonts w:hint="eastAsia" w:ascii="宋体" w:hAnsi="宋体"/>
          <w:sz w:val="24"/>
          <w:szCs w:val="24"/>
        </w:rPr>
        <w:t>申请人的招标代理服务费按9.1条规定标准取费计算。本次报价以标准费率下浮幅度报价，不接受上浮报价。直至完成全部工作内容，该费率优惠率不做任何调整。</w:t>
      </w:r>
      <w:bookmarkEnd w:id="21"/>
      <w:bookmarkStart w:id="23" w:name="_Toc181544934"/>
      <w:r>
        <w:rPr>
          <w:rFonts w:ascii="宋体" w:hAnsi="宋体"/>
          <w:sz w:val="24"/>
          <w:szCs w:val="24"/>
        </w:rPr>
        <w:t xml:space="preserve"> </w:t>
      </w:r>
    </w:p>
    <w:p w14:paraId="3ED20865">
      <w:pPr>
        <w:spacing w:line="360" w:lineRule="auto"/>
        <w:rPr>
          <w:rFonts w:ascii="宋体" w:hAnsi="宋体"/>
          <w:sz w:val="24"/>
          <w:szCs w:val="24"/>
        </w:rPr>
      </w:pPr>
      <w:r>
        <w:rPr>
          <w:rFonts w:ascii="宋体" w:hAnsi="宋体"/>
          <w:sz w:val="24"/>
          <w:szCs w:val="24"/>
        </w:rPr>
        <w:t>9</w:t>
      </w:r>
      <w:r>
        <w:rPr>
          <w:rFonts w:hint="eastAsia" w:ascii="宋体" w:hAnsi="宋体"/>
          <w:sz w:val="24"/>
          <w:szCs w:val="24"/>
        </w:rPr>
        <w:t>.</w:t>
      </w:r>
      <w:bookmarkEnd w:id="23"/>
      <w:r>
        <w:rPr>
          <w:rFonts w:ascii="宋体" w:hAnsi="宋体"/>
          <w:sz w:val="24"/>
          <w:szCs w:val="24"/>
        </w:rPr>
        <w:t>4</w:t>
      </w:r>
      <w:r>
        <w:rPr>
          <w:rFonts w:hint="eastAsia" w:ascii="宋体" w:hAnsi="宋体"/>
          <w:sz w:val="24"/>
          <w:szCs w:val="24"/>
        </w:rPr>
        <w:t>申请人</w:t>
      </w:r>
      <w:r>
        <w:rPr>
          <w:sz w:val="24"/>
        </w:rPr>
        <w:t>按</w:t>
      </w:r>
      <w:r>
        <w:rPr>
          <w:rFonts w:hint="eastAsia"/>
          <w:sz w:val="24"/>
        </w:rPr>
        <w:t>遴选</w:t>
      </w:r>
      <w:r>
        <w:rPr>
          <w:sz w:val="24"/>
        </w:rPr>
        <w:t>文件给定的资料及现行规范的相应规定，在充分考虑实际工作量、技术含量、难易程度、复杂性等因素的基础上进行竞争性报价。</w:t>
      </w:r>
    </w:p>
    <w:p w14:paraId="1A98D8C5">
      <w:pPr>
        <w:spacing w:line="360" w:lineRule="auto"/>
        <w:rPr>
          <w:rFonts w:ascii="宋体" w:hAnsi="宋体"/>
          <w:sz w:val="24"/>
          <w:szCs w:val="24"/>
        </w:rPr>
      </w:pPr>
      <w:r>
        <w:rPr>
          <w:rFonts w:ascii="宋体" w:hAnsi="宋体"/>
          <w:sz w:val="24"/>
          <w:szCs w:val="24"/>
        </w:rPr>
        <w:t>9</w:t>
      </w:r>
      <w:r>
        <w:rPr>
          <w:rFonts w:hint="eastAsia" w:ascii="宋体" w:hAnsi="宋体"/>
          <w:sz w:val="24"/>
          <w:szCs w:val="24"/>
        </w:rPr>
        <w:t>.</w:t>
      </w:r>
      <w:r>
        <w:rPr>
          <w:rFonts w:ascii="宋体" w:hAnsi="宋体"/>
          <w:sz w:val="24"/>
          <w:szCs w:val="24"/>
        </w:rPr>
        <w:t>5</w:t>
      </w:r>
      <w:r>
        <w:rPr>
          <w:rFonts w:hint="eastAsia" w:ascii="宋体" w:hAnsi="宋体"/>
          <w:spacing w:val="4"/>
          <w:sz w:val="24"/>
          <w:szCs w:val="24"/>
        </w:rPr>
        <w:t>支付</w:t>
      </w:r>
      <w:r>
        <w:rPr>
          <w:rFonts w:hint="eastAsia" w:ascii="宋体" w:hAnsi="宋体"/>
          <w:sz w:val="24"/>
          <w:szCs w:val="24"/>
        </w:rPr>
        <w:t>招标代理服务费</w:t>
      </w:r>
      <w:r>
        <w:rPr>
          <w:rFonts w:hint="eastAsia" w:ascii="宋体" w:hAnsi="宋体"/>
          <w:spacing w:val="4"/>
          <w:sz w:val="24"/>
          <w:szCs w:val="24"/>
        </w:rPr>
        <w:t>所采用的货币币种为人民币</w:t>
      </w:r>
      <w:r>
        <w:rPr>
          <w:rFonts w:hint="eastAsia" w:ascii="宋体" w:hAnsi="宋体"/>
          <w:sz w:val="24"/>
          <w:szCs w:val="24"/>
        </w:rPr>
        <w:t>。</w:t>
      </w:r>
    </w:p>
    <w:bookmarkEnd w:id="22"/>
    <w:p w14:paraId="74C0BB61">
      <w:pPr>
        <w:spacing w:line="360" w:lineRule="auto"/>
        <w:rPr>
          <w:rFonts w:ascii="宋体" w:hAnsi="宋体"/>
          <w:b/>
          <w:sz w:val="24"/>
          <w:szCs w:val="24"/>
        </w:rPr>
      </w:pPr>
      <w:r>
        <w:rPr>
          <w:rFonts w:hint="eastAsia" w:ascii="宋体" w:hAnsi="宋体"/>
          <w:b/>
          <w:sz w:val="24"/>
          <w:szCs w:val="24"/>
        </w:rPr>
        <w:t>1</w:t>
      </w:r>
      <w:r>
        <w:rPr>
          <w:rFonts w:ascii="宋体" w:hAnsi="宋体"/>
          <w:b/>
          <w:sz w:val="24"/>
          <w:szCs w:val="24"/>
        </w:rPr>
        <w:t>0</w:t>
      </w:r>
      <w:r>
        <w:rPr>
          <w:rFonts w:hint="eastAsia" w:ascii="宋体" w:hAnsi="宋体"/>
          <w:b/>
          <w:sz w:val="24"/>
          <w:szCs w:val="24"/>
        </w:rPr>
        <w:t>.遴选申请文件有效期</w:t>
      </w:r>
    </w:p>
    <w:p w14:paraId="20E172D3">
      <w:pPr>
        <w:adjustRightInd w:val="0"/>
        <w:snapToGrid w:val="0"/>
        <w:spacing w:line="360" w:lineRule="auto"/>
        <w:rPr>
          <w:rFonts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.1遴选申请文件的有效期为遴选申请文件递交截止日后的</w:t>
      </w:r>
      <w:r>
        <w:rPr>
          <w:rFonts w:hint="eastAsia" w:ascii="宋体" w:hAnsi="宋体"/>
          <w:sz w:val="24"/>
          <w:szCs w:val="24"/>
          <w:u w:val="single"/>
        </w:rPr>
        <w:t>90</w:t>
      </w:r>
      <w:r>
        <w:rPr>
          <w:rFonts w:hint="eastAsia" w:ascii="宋体" w:hAnsi="宋体"/>
          <w:sz w:val="24"/>
          <w:szCs w:val="24"/>
        </w:rPr>
        <w:t>天，在此期限内，所有的遴选申请文件均保持有效。</w:t>
      </w:r>
    </w:p>
    <w:p w14:paraId="03FEC26D">
      <w:pPr>
        <w:spacing w:line="360" w:lineRule="auto"/>
        <w:rPr>
          <w:rFonts w:ascii="宋体" w:hAnsi="宋体"/>
          <w:b/>
          <w:sz w:val="24"/>
        </w:rPr>
      </w:pPr>
      <w:bookmarkStart w:id="24" w:name="_Toc181544937"/>
      <w:bookmarkStart w:id="25" w:name="_Toc237405705"/>
      <w:bookmarkStart w:id="26" w:name="_Toc152642975"/>
      <w:bookmarkStart w:id="27" w:name="_Toc152642882"/>
      <w:bookmarkStart w:id="28" w:name="_Toc152645551"/>
      <w:bookmarkStart w:id="29" w:name="_Toc152647121"/>
      <w:bookmarkStart w:id="30" w:name="_Toc152579470"/>
      <w:bookmarkStart w:id="31" w:name="_Toc152644306"/>
      <w:r>
        <w:rPr>
          <w:rFonts w:hint="eastAsia" w:ascii="宋体" w:hAnsi="宋体"/>
          <w:b/>
          <w:sz w:val="24"/>
        </w:rPr>
        <w:t>1</w:t>
      </w:r>
      <w:r>
        <w:rPr>
          <w:rFonts w:ascii="宋体" w:hAnsi="宋体"/>
          <w:b/>
          <w:sz w:val="24"/>
        </w:rPr>
        <w:t>1</w:t>
      </w:r>
      <w:r>
        <w:rPr>
          <w:rFonts w:hint="eastAsia" w:ascii="宋体" w:hAnsi="宋体"/>
          <w:b/>
          <w:sz w:val="24"/>
        </w:rPr>
        <w:t>.遴选申请文件的格式和签署</w:t>
      </w:r>
      <w:bookmarkEnd w:id="24"/>
      <w:bookmarkEnd w:id="25"/>
      <w:bookmarkEnd w:id="26"/>
      <w:bookmarkEnd w:id="27"/>
      <w:bookmarkEnd w:id="28"/>
      <w:bookmarkEnd w:id="29"/>
      <w:bookmarkEnd w:id="30"/>
      <w:bookmarkEnd w:id="31"/>
    </w:p>
    <w:p w14:paraId="0428A4B7">
      <w:pPr>
        <w:spacing w:line="360" w:lineRule="auto"/>
        <w:rPr>
          <w:rFonts w:ascii="宋体" w:hAnsi="宋体"/>
          <w:sz w:val="24"/>
          <w:szCs w:val="24"/>
        </w:rPr>
      </w:pPr>
      <w:r>
        <w:rPr>
          <w:rFonts w:ascii="宋体" w:hAnsi="宋体"/>
          <w:sz w:val="24"/>
          <w:szCs w:val="24"/>
        </w:rPr>
        <w:t>11.1</w:t>
      </w:r>
      <w:r>
        <w:rPr>
          <w:rFonts w:hint="eastAsia" w:ascii="宋体" w:hAnsi="宋体"/>
          <w:sz w:val="24"/>
          <w:szCs w:val="24"/>
        </w:rPr>
        <w:t>遴选申请文件应采用胶装方式，不得采用活页装订。</w:t>
      </w:r>
    </w:p>
    <w:p w14:paraId="5F7584CC">
      <w:pPr>
        <w:spacing w:line="360" w:lineRule="auto"/>
        <w:rPr>
          <w:rFonts w:ascii="宋体" w:hAnsi="宋体"/>
          <w:sz w:val="24"/>
          <w:szCs w:val="24"/>
        </w:rPr>
      </w:pPr>
      <w:r>
        <w:rPr>
          <w:rFonts w:hint="eastAsia" w:ascii="宋体" w:hAnsi="宋体"/>
          <w:sz w:val="24"/>
          <w:szCs w:val="24"/>
        </w:rPr>
        <w:t>1</w:t>
      </w:r>
      <w:r>
        <w:rPr>
          <w:rFonts w:ascii="宋体" w:hAnsi="宋体"/>
          <w:sz w:val="24"/>
          <w:szCs w:val="24"/>
        </w:rPr>
        <w:t>1</w:t>
      </w:r>
      <w:r>
        <w:rPr>
          <w:rFonts w:hint="eastAsia" w:ascii="宋体" w:hAnsi="宋体"/>
          <w:sz w:val="24"/>
          <w:szCs w:val="24"/>
        </w:rPr>
        <w:t>.</w:t>
      </w:r>
      <w:r>
        <w:rPr>
          <w:rFonts w:ascii="宋体" w:hAnsi="宋体"/>
          <w:sz w:val="24"/>
          <w:szCs w:val="24"/>
        </w:rPr>
        <w:t>2</w:t>
      </w:r>
      <w:r>
        <w:rPr>
          <w:rFonts w:hint="eastAsia" w:ascii="宋体" w:hAnsi="宋体"/>
          <w:sz w:val="24"/>
          <w:szCs w:val="24"/>
        </w:rPr>
        <w:t>申请人应提交1份遴选申请文件正本，和</w:t>
      </w:r>
      <w:r>
        <w:rPr>
          <w:rFonts w:ascii="宋体" w:hAnsi="宋体"/>
          <w:sz w:val="24"/>
          <w:szCs w:val="24"/>
        </w:rPr>
        <w:t>2</w:t>
      </w:r>
      <w:r>
        <w:rPr>
          <w:rFonts w:hint="eastAsia" w:ascii="宋体" w:hAnsi="宋体"/>
          <w:sz w:val="24"/>
          <w:szCs w:val="24"/>
        </w:rPr>
        <w:t>份遴选申请文件副本及包含遴选申请文件主要内容的电子文档1份（光盘或U盘形式），每份遴选申请文件须在封面的右上角清楚地标明“正本”或“副本”。正本和副本如不符，以正本为准。</w:t>
      </w:r>
    </w:p>
    <w:p w14:paraId="5892C816">
      <w:pPr>
        <w:spacing w:line="360" w:lineRule="auto"/>
        <w:rPr>
          <w:rFonts w:ascii="宋体" w:hAnsi="宋体"/>
          <w:sz w:val="24"/>
          <w:szCs w:val="24"/>
        </w:rPr>
      </w:pPr>
      <w:bookmarkStart w:id="32" w:name="_Toc152647122"/>
      <w:bookmarkStart w:id="33" w:name="_Toc152642883"/>
      <w:bookmarkStart w:id="34" w:name="_Toc152645552"/>
      <w:bookmarkStart w:id="35" w:name="_Toc152644307"/>
      <w:bookmarkStart w:id="36" w:name="_Toc152642976"/>
      <w:bookmarkStart w:id="37" w:name="_Toc237405706"/>
      <w:bookmarkStart w:id="38" w:name="_Toc152579471"/>
      <w:bookmarkStart w:id="39" w:name="_Toc181544941"/>
      <w:r>
        <w:rPr>
          <w:rFonts w:hint="eastAsia" w:ascii="宋体" w:hAnsi="宋体"/>
          <w:sz w:val="24"/>
          <w:szCs w:val="24"/>
        </w:rPr>
        <w:t>1</w:t>
      </w:r>
      <w:r>
        <w:rPr>
          <w:rFonts w:ascii="宋体" w:hAnsi="宋体"/>
          <w:sz w:val="24"/>
          <w:szCs w:val="24"/>
        </w:rPr>
        <w:t>1</w:t>
      </w:r>
      <w:r>
        <w:rPr>
          <w:rFonts w:hint="eastAsia" w:ascii="宋体" w:hAnsi="宋体"/>
          <w:sz w:val="24"/>
          <w:szCs w:val="24"/>
        </w:rPr>
        <w:t>.</w:t>
      </w:r>
      <w:r>
        <w:rPr>
          <w:rFonts w:ascii="宋体" w:hAnsi="宋体"/>
          <w:sz w:val="24"/>
          <w:szCs w:val="24"/>
        </w:rPr>
        <w:t>3</w:t>
      </w:r>
      <w:r>
        <w:rPr>
          <w:rFonts w:hint="eastAsia" w:ascii="宋体" w:hAnsi="宋体"/>
          <w:sz w:val="24"/>
          <w:szCs w:val="24"/>
        </w:rPr>
        <w:t>遴选申请文件正本和所有的副本均需采用打印并由申请人或经正式授权并对申请人有约束力的代理人签字。授权代理人须将以书面形式出具的“法人代表授权书”附在遴选申请文件中。申请人须附法定代表人和被授权人的身份证复印件，被授权人的在职证明（劳动合同或缴纳社保证明），并加盖公章。</w:t>
      </w:r>
    </w:p>
    <w:p w14:paraId="1D5E0148">
      <w:pPr>
        <w:spacing w:line="360" w:lineRule="auto"/>
        <w:rPr>
          <w:rFonts w:ascii="宋体" w:hAnsi="宋体"/>
          <w:b/>
          <w:sz w:val="24"/>
          <w:szCs w:val="24"/>
        </w:rPr>
      </w:pPr>
      <w:r>
        <w:rPr>
          <w:rFonts w:hint="eastAsia" w:ascii="宋体" w:hAnsi="宋体"/>
          <w:b/>
          <w:sz w:val="24"/>
          <w:szCs w:val="24"/>
        </w:rPr>
        <w:t>1</w:t>
      </w:r>
      <w:r>
        <w:rPr>
          <w:rFonts w:ascii="宋体" w:hAnsi="宋体"/>
          <w:b/>
          <w:sz w:val="24"/>
          <w:szCs w:val="24"/>
        </w:rPr>
        <w:t>2</w:t>
      </w:r>
      <w:r>
        <w:rPr>
          <w:rFonts w:hint="eastAsia" w:ascii="宋体" w:hAnsi="宋体"/>
          <w:b/>
          <w:sz w:val="24"/>
          <w:szCs w:val="24"/>
        </w:rPr>
        <w:t>.遴选申请文件的送达</w:t>
      </w:r>
      <w:bookmarkEnd w:id="32"/>
      <w:bookmarkEnd w:id="33"/>
      <w:bookmarkEnd w:id="34"/>
      <w:bookmarkEnd w:id="35"/>
      <w:bookmarkEnd w:id="36"/>
      <w:bookmarkEnd w:id="37"/>
      <w:bookmarkEnd w:id="38"/>
      <w:bookmarkEnd w:id="39"/>
    </w:p>
    <w:p w14:paraId="3A63D7A3">
      <w:pPr>
        <w:adjustRightInd w:val="0"/>
        <w:snapToGrid w:val="0"/>
        <w:spacing w:line="360" w:lineRule="auto"/>
        <w:rPr>
          <w:rFonts w:ascii="宋体" w:hAnsi="宋体"/>
          <w:sz w:val="24"/>
          <w:szCs w:val="24"/>
        </w:rPr>
      </w:pPr>
      <w:bookmarkStart w:id="40" w:name="_Toc181544956"/>
      <w:r>
        <w:rPr>
          <w:rFonts w:hint="eastAsia" w:ascii="宋体" w:hAnsi="宋体"/>
          <w:sz w:val="24"/>
          <w:szCs w:val="24"/>
        </w:rPr>
        <w:t>1</w:t>
      </w:r>
      <w:r>
        <w:rPr>
          <w:rFonts w:ascii="宋体" w:hAnsi="宋体"/>
          <w:sz w:val="24"/>
          <w:szCs w:val="24"/>
        </w:rPr>
        <w:t>2</w:t>
      </w:r>
      <w:r>
        <w:rPr>
          <w:rFonts w:hint="eastAsia" w:ascii="宋体" w:hAnsi="宋体"/>
          <w:sz w:val="24"/>
          <w:szCs w:val="24"/>
        </w:rPr>
        <w:t>.1申请人于</w:t>
      </w:r>
      <w:r>
        <w:rPr>
          <w:rFonts w:ascii="宋体" w:hAnsi="宋体"/>
          <w:sz w:val="24"/>
          <w:szCs w:val="24"/>
          <w:u w:val="single"/>
        </w:rPr>
        <w:t>202</w:t>
      </w:r>
      <w:r>
        <w:rPr>
          <w:rFonts w:hint="eastAsia" w:ascii="宋体" w:hAnsi="宋体"/>
          <w:sz w:val="24"/>
          <w:szCs w:val="24"/>
          <w:u w:val="single"/>
        </w:rPr>
        <w:t>6年</w:t>
      </w:r>
      <w:r>
        <w:rPr>
          <w:rFonts w:ascii="宋体" w:hAnsi="宋体"/>
          <w:sz w:val="24"/>
          <w:szCs w:val="24"/>
          <w:u w:val="single"/>
        </w:rPr>
        <w:t>6</w:t>
      </w:r>
      <w:r>
        <w:rPr>
          <w:rFonts w:hint="eastAsia" w:ascii="宋体" w:hAnsi="宋体"/>
          <w:sz w:val="24"/>
          <w:szCs w:val="24"/>
          <w:u w:val="single"/>
        </w:rPr>
        <w:t>月</w:t>
      </w:r>
      <w:r>
        <w:rPr>
          <w:rFonts w:ascii="宋体" w:hAnsi="宋体"/>
          <w:sz w:val="24"/>
          <w:szCs w:val="24"/>
          <w:u w:val="single"/>
        </w:rPr>
        <w:t>26</w:t>
      </w:r>
      <w:r>
        <w:rPr>
          <w:rFonts w:hint="eastAsia" w:ascii="宋体" w:hAnsi="宋体"/>
          <w:sz w:val="24"/>
          <w:u w:val="single"/>
        </w:rPr>
        <w:t>日</w:t>
      </w:r>
      <w:r>
        <w:rPr>
          <w:rFonts w:ascii="宋体" w:hAnsi="宋体"/>
          <w:sz w:val="24"/>
          <w:u w:val="single"/>
        </w:rPr>
        <w:t>9</w:t>
      </w:r>
      <w:r>
        <w:rPr>
          <w:rFonts w:hint="eastAsia" w:ascii="宋体" w:hAnsi="宋体"/>
          <w:sz w:val="24"/>
          <w:u w:val="single"/>
        </w:rPr>
        <w:t>时</w:t>
      </w:r>
      <w:r>
        <w:rPr>
          <w:rFonts w:ascii="宋体" w:hAnsi="宋体"/>
          <w:sz w:val="24"/>
          <w:u w:val="single"/>
        </w:rPr>
        <w:t>0</w:t>
      </w:r>
      <w:r>
        <w:rPr>
          <w:rFonts w:hint="eastAsia" w:ascii="宋体" w:hAnsi="宋体"/>
          <w:sz w:val="24"/>
          <w:u w:val="single"/>
        </w:rPr>
        <w:t>分</w:t>
      </w:r>
      <w:r>
        <w:rPr>
          <w:rFonts w:hint="eastAsia" w:ascii="宋体" w:hAnsi="宋体"/>
          <w:sz w:val="24"/>
          <w:szCs w:val="24"/>
        </w:rPr>
        <w:t>前将遴选申请文件报送到北京协和医院老楼8楼2层集中办公区1号院办窗口。</w:t>
      </w:r>
    </w:p>
    <w:p w14:paraId="23544FB3">
      <w:pPr>
        <w:tabs>
          <w:tab w:val="left" w:pos="7095"/>
        </w:tabs>
        <w:spacing w:line="360" w:lineRule="auto"/>
        <w:rPr>
          <w:rFonts w:ascii="宋体" w:hAnsi="宋体"/>
          <w:bCs/>
          <w:sz w:val="24"/>
          <w:szCs w:val="24"/>
        </w:rPr>
      </w:pPr>
      <w:r>
        <w:rPr>
          <w:rFonts w:ascii="宋体" w:hAnsi="宋体"/>
          <w:sz w:val="24"/>
          <w:szCs w:val="24"/>
        </w:rPr>
        <w:t>12</w:t>
      </w:r>
      <w:r>
        <w:rPr>
          <w:rFonts w:hint="eastAsia" w:ascii="宋体" w:hAnsi="宋体"/>
          <w:sz w:val="24"/>
          <w:szCs w:val="24"/>
        </w:rPr>
        <w:t>.2联系人：</w:t>
      </w:r>
      <w:bookmarkEnd w:id="40"/>
      <w:r>
        <w:rPr>
          <w:rFonts w:hint="eastAsia" w:ascii="宋体" w:hAnsi="宋体"/>
          <w:bCs/>
          <w:sz w:val="24"/>
          <w:szCs w:val="24"/>
        </w:rPr>
        <w:t>杨老师 电话：6</w:t>
      </w:r>
      <w:r>
        <w:rPr>
          <w:rFonts w:ascii="宋体" w:hAnsi="宋体"/>
          <w:bCs/>
          <w:sz w:val="24"/>
          <w:szCs w:val="24"/>
        </w:rPr>
        <w:t>9156803</w:t>
      </w:r>
      <w:r>
        <w:rPr>
          <w:rFonts w:ascii="宋体" w:hAnsi="宋体"/>
          <w:kern w:val="0"/>
          <w:sz w:val="24"/>
          <w:szCs w:val="24"/>
        </w:rPr>
        <w:tab/>
      </w:r>
    </w:p>
    <w:p w14:paraId="74824471">
      <w:pPr>
        <w:adjustRightInd w:val="0"/>
        <w:snapToGrid w:val="0"/>
        <w:spacing w:line="360" w:lineRule="auto"/>
        <w:rPr>
          <w:rFonts w:ascii="宋体" w:hAnsi="宋体"/>
          <w:sz w:val="24"/>
          <w:szCs w:val="24"/>
        </w:rPr>
      </w:pPr>
      <w:bookmarkStart w:id="41" w:name="_Toc181544957"/>
      <w:r>
        <w:rPr>
          <w:rFonts w:hint="eastAsia" w:ascii="宋体" w:hAnsi="宋体"/>
          <w:sz w:val="24"/>
          <w:szCs w:val="24"/>
        </w:rPr>
        <w:t>1</w:t>
      </w:r>
      <w:r>
        <w:rPr>
          <w:rFonts w:ascii="宋体" w:hAnsi="宋体"/>
          <w:sz w:val="24"/>
          <w:szCs w:val="24"/>
        </w:rPr>
        <w:t>2</w:t>
      </w:r>
      <w:r>
        <w:rPr>
          <w:rFonts w:hint="eastAsia" w:ascii="宋体" w:hAnsi="宋体"/>
          <w:sz w:val="24"/>
          <w:szCs w:val="24"/>
        </w:rPr>
        <w:t>.3如时间有变，遴选人将另行书面通知各申请人。</w:t>
      </w:r>
      <w:bookmarkEnd w:id="41"/>
    </w:p>
    <w:p w14:paraId="448888A7">
      <w:pPr>
        <w:adjustRightInd w:val="0"/>
        <w:snapToGrid w:val="0"/>
        <w:spacing w:line="360" w:lineRule="auto"/>
        <w:rPr>
          <w:rFonts w:ascii="宋体" w:hAnsi="宋体"/>
          <w:sz w:val="24"/>
          <w:szCs w:val="24"/>
        </w:rPr>
      </w:pPr>
      <w:bookmarkStart w:id="42" w:name="_Toc181544959"/>
      <w:r>
        <w:rPr>
          <w:rFonts w:hint="eastAsia" w:ascii="宋体" w:hAnsi="宋体"/>
          <w:sz w:val="24"/>
          <w:szCs w:val="24"/>
        </w:rPr>
        <w:t>1</w:t>
      </w:r>
      <w:r>
        <w:rPr>
          <w:rFonts w:ascii="宋体" w:hAnsi="宋体"/>
          <w:sz w:val="24"/>
          <w:szCs w:val="24"/>
        </w:rPr>
        <w:t>2</w:t>
      </w:r>
      <w:r>
        <w:rPr>
          <w:rFonts w:hint="eastAsia" w:ascii="宋体" w:hAnsi="宋体"/>
          <w:sz w:val="24"/>
          <w:szCs w:val="24"/>
        </w:rPr>
        <w:t>.4在规定时间以后送达的遴选申请文件或没有按照上述规定地点递交的遴选申请文件，遴选人将不予接受。</w:t>
      </w:r>
      <w:bookmarkEnd w:id="42"/>
    </w:p>
    <w:p w14:paraId="44EF5432">
      <w:pPr>
        <w:adjustRightInd w:val="0"/>
        <w:snapToGrid w:val="0"/>
        <w:spacing w:line="360" w:lineRule="auto"/>
        <w:rPr>
          <w:rFonts w:ascii="宋体" w:hAnsi="宋体"/>
          <w:b/>
          <w:sz w:val="24"/>
          <w:szCs w:val="24"/>
        </w:rPr>
      </w:pPr>
      <w:bookmarkStart w:id="43" w:name="_Toc237405707"/>
      <w:bookmarkStart w:id="44" w:name="_Toc152642977"/>
      <w:bookmarkStart w:id="45" w:name="_Toc181544963"/>
      <w:bookmarkStart w:id="46" w:name="_Toc152642884"/>
      <w:bookmarkStart w:id="47" w:name="_Toc152645553"/>
      <w:bookmarkStart w:id="48" w:name="_Toc152647123"/>
      <w:bookmarkStart w:id="49" w:name="_Toc152644308"/>
      <w:bookmarkStart w:id="50" w:name="_Toc152579472"/>
      <w:r>
        <w:rPr>
          <w:rFonts w:hint="eastAsia" w:ascii="宋体" w:hAnsi="宋体"/>
          <w:b/>
          <w:sz w:val="24"/>
          <w:szCs w:val="24"/>
        </w:rPr>
        <w:t>1</w:t>
      </w:r>
      <w:r>
        <w:rPr>
          <w:rFonts w:ascii="宋体" w:hAnsi="宋体"/>
          <w:b/>
          <w:sz w:val="24"/>
          <w:szCs w:val="24"/>
        </w:rPr>
        <w:t>3</w:t>
      </w:r>
      <w:r>
        <w:rPr>
          <w:rFonts w:hint="eastAsia" w:ascii="宋体" w:hAnsi="宋体"/>
          <w:b/>
          <w:sz w:val="24"/>
          <w:szCs w:val="24"/>
        </w:rPr>
        <w:t>.</w:t>
      </w:r>
      <w:bookmarkEnd w:id="43"/>
      <w:bookmarkEnd w:id="44"/>
      <w:bookmarkEnd w:id="45"/>
      <w:bookmarkEnd w:id="46"/>
      <w:bookmarkEnd w:id="47"/>
      <w:bookmarkEnd w:id="48"/>
      <w:bookmarkEnd w:id="49"/>
      <w:bookmarkEnd w:id="50"/>
      <w:r>
        <w:rPr>
          <w:rFonts w:hint="eastAsia" w:ascii="宋体" w:hAnsi="宋体"/>
          <w:b/>
          <w:sz w:val="24"/>
          <w:szCs w:val="24"/>
        </w:rPr>
        <w:t>遴选</w:t>
      </w:r>
    </w:p>
    <w:p w14:paraId="2C7DE0BA">
      <w:pPr>
        <w:spacing w:line="360" w:lineRule="auto"/>
        <w:rPr>
          <w:rFonts w:ascii="宋体" w:hAnsi="宋体"/>
          <w:sz w:val="24"/>
          <w:szCs w:val="24"/>
        </w:rPr>
      </w:pPr>
      <w:bookmarkStart w:id="51" w:name="_Toc181544964"/>
      <w:r>
        <w:rPr>
          <w:rFonts w:hint="eastAsia" w:ascii="宋体" w:hAnsi="宋体"/>
          <w:sz w:val="24"/>
          <w:szCs w:val="24"/>
        </w:rPr>
        <w:t>1</w:t>
      </w:r>
      <w:r>
        <w:rPr>
          <w:rFonts w:ascii="宋体" w:hAnsi="宋体"/>
          <w:sz w:val="24"/>
          <w:szCs w:val="24"/>
        </w:rPr>
        <w:t>3</w:t>
      </w:r>
      <w:r>
        <w:rPr>
          <w:rFonts w:hint="eastAsia" w:ascii="宋体" w:hAnsi="宋体"/>
          <w:sz w:val="24"/>
          <w:szCs w:val="24"/>
        </w:rPr>
        <w:t>.1遴选时间：定于</w:t>
      </w:r>
      <w:r>
        <w:rPr>
          <w:rFonts w:ascii="宋体" w:hAnsi="宋体"/>
          <w:sz w:val="24"/>
          <w:u w:val="single"/>
        </w:rPr>
        <w:t>202</w:t>
      </w:r>
      <w:r>
        <w:rPr>
          <w:rFonts w:hint="eastAsia" w:ascii="宋体" w:hAnsi="宋体"/>
          <w:sz w:val="24"/>
          <w:u w:val="single"/>
        </w:rPr>
        <w:t>6年</w:t>
      </w:r>
      <w:r>
        <w:rPr>
          <w:rFonts w:ascii="宋体" w:hAnsi="宋体"/>
          <w:sz w:val="24"/>
          <w:u w:val="single"/>
        </w:rPr>
        <w:t>7</w:t>
      </w:r>
      <w:r>
        <w:rPr>
          <w:rFonts w:hint="eastAsia" w:ascii="宋体" w:hAnsi="宋体"/>
          <w:sz w:val="24"/>
          <w:u w:val="single"/>
        </w:rPr>
        <w:t>月</w:t>
      </w:r>
      <w:r>
        <w:rPr>
          <w:rFonts w:ascii="宋体" w:hAnsi="宋体"/>
          <w:sz w:val="24"/>
          <w:u w:val="single"/>
        </w:rPr>
        <w:t>3</w:t>
      </w:r>
      <w:r>
        <w:rPr>
          <w:rFonts w:hint="eastAsia" w:ascii="宋体" w:hAnsi="宋体"/>
          <w:sz w:val="24"/>
          <w:u w:val="single"/>
        </w:rPr>
        <w:t>日</w:t>
      </w:r>
      <w:r>
        <w:rPr>
          <w:rFonts w:ascii="宋体" w:hAnsi="宋体"/>
          <w:sz w:val="24"/>
          <w:u w:val="single"/>
        </w:rPr>
        <w:t>14</w:t>
      </w:r>
      <w:r>
        <w:rPr>
          <w:rFonts w:hint="eastAsia" w:ascii="宋体" w:hAnsi="宋体"/>
          <w:sz w:val="24"/>
          <w:u w:val="single"/>
        </w:rPr>
        <w:t>时</w:t>
      </w:r>
      <w:r>
        <w:rPr>
          <w:rFonts w:ascii="宋体" w:hAnsi="宋体"/>
          <w:sz w:val="24"/>
          <w:u w:val="single"/>
        </w:rPr>
        <w:t>0</w:t>
      </w:r>
      <w:r>
        <w:rPr>
          <w:rFonts w:hint="eastAsia" w:ascii="宋体" w:hAnsi="宋体"/>
          <w:sz w:val="24"/>
          <w:u w:val="single"/>
        </w:rPr>
        <w:t>分</w:t>
      </w:r>
      <w:r>
        <w:rPr>
          <w:rFonts w:hint="eastAsia" w:ascii="宋体" w:hAnsi="宋体"/>
          <w:sz w:val="24"/>
          <w:szCs w:val="24"/>
        </w:rPr>
        <w:t>进行开标；开标分为两个阶段，第一阶段：符合性评审，专家组对申请人的遴选申请文件进行符合性评审。第二阶段，现场评审，对于符合遴选文件要求的投标单位，按签到顺序，项目负责人或授权代表进行现场汇报，每家</w:t>
      </w:r>
      <w:r>
        <w:rPr>
          <w:rFonts w:ascii="宋体" w:hAnsi="宋体"/>
          <w:sz w:val="24"/>
          <w:szCs w:val="24"/>
        </w:rPr>
        <w:t>5</w:t>
      </w:r>
      <w:r>
        <w:rPr>
          <w:rFonts w:hint="eastAsia" w:ascii="宋体" w:hAnsi="宋体"/>
          <w:sz w:val="24"/>
          <w:szCs w:val="24"/>
        </w:rPr>
        <w:t>分钟。具体PPT文件内容以公司基本情况及业绩、项目团队（主要人员业绩、持证情况、学历情况等）、针对性代理方案及其它能够表现公司实力的内容为主，要求简洁明了，针对性强。专家评委根据汇报结果，进行现场评定打分。</w:t>
      </w:r>
    </w:p>
    <w:p w14:paraId="24E454B7">
      <w:pPr>
        <w:spacing w:line="360" w:lineRule="auto"/>
        <w:rPr>
          <w:rFonts w:ascii="宋体" w:hAnsi="宋体"/>
          <w:sz w:val="24"/>
          <w:szCs w:val="24"/>
        </w:rPr>
      </w:pPr>
      <w:r>
        <w:rPr>
          <w:rFonts w:hint="eastAsia" w:ascii="宋体" w:hAnsi="宋体"/>
          <w:sz w:val="24"/>
          <w:szCs w:val="24"/>
        </w:rPr>
        <w:t>1</w:t>
      </w:r>
      <w:r>
        <w:rPr>
          <w:rFonts w:ascii="宋体" w:hAnsi="宋体"/>
          <w:sz w:val="24"/>
          <w:szCs w:val="24"/>
        </w:rPr>
        <w:t>3</w:t>
      </w:r>
      <w:r>
        <w:rPr>
          <w:rFonts w:hint="eastAsia" w:ascii="宋体" w:hAnsi="宋体"/>
          <w:sz w:val="24"/>
          <w:szCs w:val="24"/>
        </w:rPr>
        <w:t>.</w:t>
      </w:r>
      <w:r>
        <w:rPr>
          <w:rFonts w:ascii="宋体" w:hAnsi="宋体"/>
          <w:sz w:val="24"/>
          <w:szCs w:val="24"/>
        </w:rPr>
        <w:t xml:space="preserve">2 </w:t>
      </w:r>
      <w:r>
        <w:rPr>
          <w:rFonts w:hint="eastAsia" w:ascii="宋体" w:hAnsi="宋体"/>
          <w:sz w:val="24"/>
          <w:szCs w:val="24"/>
        </w:rPr>
        <w:t>以综合评分方式确定3家得分最高的招标代理机构入选，如存在得分相同情况，先按评分表中业绩</w:t>
      </w:r>
      <w:r>
        <w:rPr>
          <w:rFonts w:ascii="宋体" w:hAnsi="宋体"/>
          <w:sz w:val="24"/>
          <w:szCs w:val="24"/>
        </w:rPr>
        <w:t>情况</w:t>
      </w:r>
      <w:r>
        <w:rPr>
          <w:rFonts w:hint="eastAsia" w:ascii="宋体" w:hAnsi="宋体"/>
          <w:sz w:val="24"/>
          <w:szCs w:val="24"/>
        </w:rPr>
        <w:t>得分由高到低顺序排列，如业绩</w:t>
      </w:r>
      <w:r>
        <w:rPr>
          <w:rFonts w:ascii="宋体" w:hAnsi="宋体"/>
          <w:sz w:val="24"/>
          <w:szCs w:val="24"/>
        </w:rPr>
        <w:t>情况</w:t>
      </w:r>
      <w:r>
        <w:rPr>
          <w:rFonts w:hint="eastAsia" w:ascii="宋体" w:hAnsi="宋体"/>
          <w:sz w:val="24"/>
          <w:szCs w:val="24"/>
        </w:rPr>
        <w:t>得分也相同，按实施方案部分得分由高到低顺序排列。</w:t>
      </w:r>
    </w:p>
    <w:p w14:paraId="350C120D">
      <w:pPr>
        <w:spacing w:line="360" w:lineRule="auto"/>
        <w:rPr>
          <w:rFonts w:ascii="宋体" w:hAnsi="宋体"/>
          <w:sz w:val="24"/>
          <w:szCs w:val="24"/>
        </w:rPr>
      </w:pPr>
      <w:r>
        <w:rPr>
          <w:rFonts w:ascii="宋体" w:hAnsi="宋体"/>
          <w:sz w:val="24"/>
          <w:szCs w:val="24"/>
        </w:rPr>
        <w:t>13</w:t>
      </w:r>
      <w:r>
        <w:rPr>
          <w:rFonts w:hint="eastAsia" w:ascii="宋体" w:hAnsi="宋体"/>
          <w:sz w:val="24"/>
          <w:szCs w:val="24"/>
        </w:rPr>
        <w:t>.3项目经理应是该项目的授权代表。</w:t>
      </w:r>
    </w:p>
    <w:p w14:paraId="7422FBE2">
      <w:pPr>
        <w:spacing w:line="360" w:lineRule="auto"/>
        <w:rPr>
          <w:rFonts w:ascii="宋体" w:hAnsi="宋体"/>
          <w:sz w:val="24"/>
          <w:szCs w:val="24"/>
        </w:rPr>
      </w:pPr>
      <w:r>
        <w:rPr>
          <w:rFonts w:ascii="宋体" w:hAnsi="宋体"/>
          <w:sz w:val="24"/>
          <w:szCs w:val="24"/>
        </w:rPr>
        <w:t>13.4</w:t>
      </w:r>
      <w:r>
        <w:rPr>
          <w:rFonts w:hint="eastAsia" w:ascii="宋体" w:hAnsi="宋体"/>
          <w:sz w:val="24"/>
          <w:szCs w:val="24"/>
        </w:rPr>
        <w:t>对符合要求的遴选申请文件进行拆封开标。开标由遴选人主持，遴选人可以邀请有关部门参加并接受主管部门的监督。</w:t>
      </w:r>
    </w:p>
    <w:p w14:paraId="7D2615C4">
      <w:pPr>
        <w:spacing w:line="360" w:lineRule="auto"/>
        <w:rPr>
          <w:rFonts w:ascii="宋体" w:hAnsi="宋体"/>
          <w:sz w:val="24"/>
          <w:szCs w:val="24"/>
        </w:rPr>
      </w:pPr>
      <w:r>
        <w:rPr>
          <w:rFonts w:hint="eastAsia" w:ascii="宋体" w:hAnsi="宋体"/>
          <w:sz w:val="24"/>
          <w:szCs w:val="24"/>
        </w:rPr>
        <w:t>1</w:t>
      </w:r>
      <w:r>
        <w:rPr>
          <w:rFonts w:ascii="宋体" w:hAnsi="宋体"/>
          <w:sz w:val="24"/>
          <w:szCs w:val="24"/>
        </w:rPr>
        <w:t>3</w:t>
      </w:r>
      <w:r>
        <w:rPr>
          <w:rFonts w:hint="eastAsia" w:ascii="宋体" w:hAnsi="宋体"/>
          <w:sz w:val="24"/>
          <w:szCs w:val="24"/>
        </w:rPr>
        <w:t>.</w:t>
      </w:r>
      <w:r>
        <w:rPr>
          <w:rFonts w:ascii="宋体" w:hAnsi="宋体"/>
          <w:sz w:val="24"/>
          <w:szCs w:val="24"/>
        </w:rPr>
        <w:t>5</w:t>
      </w:r>
      <w:r>
        <w:rPr>
          <w:rFonts w:hint="eastAsia" w:ascii="宋体" w:hAnsi="宋体"/>
          <w:sz w:val="24"/>
          <w:szCs w:val="24"/>
        </w:rPr>
        <w:t>本次遴选不接受二次报价，请各申请人报价时注意。</w:t>
      </w:r>
    </w:p>
    <w:p w14:paraId="391E0C65">
      <w:pPr>
        <w:spacing w:line="360" w:lineRule="auto"/>
        <w:rPr>
          <w:rFonts w:ascii="宋体" w:hAnsi="宋体"/>
          <w:sz w:val="24"/>
          <w:szCs w:val="24"/>
        </w:rPr>
      </w:pPr>
      <w:r>
        <w:rPr>
          <w:rFonts w:ascii="宋体" w:hAnsi="宋体"/>
          <w:sz w:val="24"/>
          <w:szCs w:val="24"/>
        </w:rPr>
        <w:t>13.6</w:t>
      </w:r>
      <w:r>
        <w:rPr>
          <w:rFonts w:hint="eastAsia" w:ascii="宋体" w:hAnsi="宋体"/>
          <w:sz w:val="24"/>
          <w:szCs w:val="24"/>
        </w:rPr>
        <w:t>无效遴选申请文件的确定</w:t>
      </w:r>
    </w:p>
    <w:p w14:paraId="50CE52D6">
      <w:pPr>
        <w:spacing w:line="360" w:lineRule="auto"/>
        <w:rPr>
          <w:rFonts w:ascii="宋体" w:hAnsi="宋体"/>
          <w:sz w:val="24"/>
          <w:szCs w:val="24"/>
        </w:rPr>
      </w:pPr>
      <w:r>
        <w:rPr>
          <w:rFonts w:hint="eastAsia" w:ascii="宋体" w:hAnsi="宋体"/>
          <w:sz w:val="24"/>
          <w:szCs w:val="24"/>
        </w:rPr>
        <w:t>1</w:t>
      </w:r>
      <w:r>
        <w:rPr>
          <w:rFonts w:ascii="宋体" w:hAnsi="宋体"/>
          <w:sz w:val="24"/>
          <w:szCs w:val="24"/>
        </w:rPr>
        <w:t>3</w:t>
      </w:r>
      <w:r>
        <w:rPr>
          <w:rFonts w:hint="eastAsia" w:ascii="宋体" w:hAnsi="宋体"/>
          <w:sz w:val="24"/>
          <w:szCs w:val="24"/>
        </w:rPr>
        <w:t>.</w:t>
      </w:r>
      <w:r>
        <w:rPr>
          <w:rFonts w:ascii="宋体" w:hAnsi="宋体"/>
          <w:sz w:val="24"/>
          <w:szCs w:val="24"/>
        </w:rPr>
        <w:t>6</w:t>
      </w:r>
      <w:r>
        <w:rPr>
          <w:rFonts w:hint="eastAsia" w:ascii="宋体" w:hAnsi="宋体"/>
          <w:sz w:val="24"/>
          <w:szCs w:val="24"/>
        </w:rPr>
        <w:t>.1未按遴选文件规定进行密封、标记、盖章的。</w:t>
      </w:r>
    </w:p>
    <w:p w14:paraId="164CB4E9">
      <w:pPr>
        <w:spacing w:line="360" w:lineRule="auto"/>
        <w:rPr>
          <w:rFonts w:ascii="宋体" w:hAnsi="宋体"/>
          <w:sz w:val="24"/>
          <w:szCs w:val="24"/>
        </w:rPr>
      </w:pPr>
      <w:r>
        <w:rPr>
          <w:rFonts w:hint="eastAsia" w:ascii="宋体" w:hAnsi="宋体"/>
          <w:sz w:val="24"/>
          <w:szCs w:val="24"/>
        </w:rPr>
        <w:t>1</w:t>
      </w:r>
      <w:r>
        <w:rPr>
          <w:rFonts w:ascii="宋体" w:hAnsi="宋体"/>
          <w:sz w:val="24"/>
          <w:szCs w:val="24"/>
        </w:rPr>
        <w:t>3</w:t>
      </w:r>
      <w:r>
        <w:rPr>
          <w:rFonts w:hint="eastAsia" w:ascii="宋体" w:hAnsi="宋体"/>
          <w:sz w:val="24"/>
          <w:szCs w:val="24"/>
        </w:rPr>
        <w:t>.</w:t>
      </w:r>
      <w:r>
        <w:rPr>
          <w:rFonts w:ascii="宋体" w:hAnsi="宋体"/>
          <w:sz w:val="24"/>
          <w:szCs w:val="24"/>
        </w:rPr>
        <w:t>6</w:t>
      </w:r>
      <w:r>
        <w:rPr>
          <w:rFonts w:hint="eastAsia" w:ascii="宋体" w:hAnsi="宋体"/>
          <w:sz w:val="24"/>
          <w:szCs w:val="24"/>
        </w:rPr>
        <w:t>.2未按遴选文件规定递交截止时间递交的以及未送达指定地点的。</w:t>
      </w:r>
    </w:p>
    <w:bookmarkEnd w:id="51"/>
    <w:p w14:paraId="17C507F8">
      <w:pPr>
        <w:spacing w:line="360" w:lineRule="auto"/>
        <w:rPr>
          <w:rFonts w:ascii="宋体" w:hAnsi="宋体"/>
          <w:b/>
          <w:sz w:val="24"/>
          <w:szCs w:val="24"/>
        </w:rPr>
      </w:pPr>
      <w:r>
        <w:rPr>
          <w:rFonts w:hint="eastAsia" w:ascii="宋体" w:hAnsi="宋体"/>
          <w:b/>
          <w:sz w:val="24"/>
          <w:szCs w:val="24"/>
        </w:rPr>
        <w:t>1</w:t>
      </w:r>
      <w:r>
        <w:rPr>
          <w:rFonts w:ascii="宋体" w:hAnsi="宋体"/>
          <w:b/>
          <w:sz w:val="24"/>
          <w:szCs w:val="24"/>
        </w:rPr>
        <w:t>4</w:t>
      </w:r>
      <w:r>
        <w:rPr>
          <w:rFonts w:hint="eastAsia" w:ascii="宋体" w:hAnsi="宋体"/>
          <w:b/>
          <w:sz w:val="24"/>
          <w:szCs w:val="24"/>
        </w:rPr>
        <w:t>.中选通知</w:t>
      </w:r>
    </w:p>
    <w:p w14:paraId="7CCF66D8">
      <w:pPr>
        <w:adjustRightInd w:val="0"/>
        <w:snapToGrid w:val="0"/>
        <w:spacing w:line="360" w:lineRule="auto"/>
        <w:rPr>
          <w:rFonts w:ascii="宋体" w:hAnsi="宋体"/>
          <w:sz w:val="24"/>
          <w:szCs w:val="24"/>
        </w:rPr>
      </w:pPr>
      <w:r>
        <w:rPr>
          <w:rFonts w:hint="eastAsia" w:ascii="宋体" w:hAnsi="宋体"/>
          <w:sz w:val="24"/>
          <w:szCs w:val="24"/>
        </w:rPr>
        <w:t>1</w:t>
      </w:r>
      <w:r>
        <w:rPr>
          <w:rFonts w:ascii="宋体" w:hAnsi="宋体"/>
          <w:sz w:val="24"/>
          <w:szCs w:val="24"/>
        </w:rPr>
        <w:t>4</w:t>
      </w:r>
      <w:r>
        <w:rPr>
          <w:rFonts w:hint="eastAsia" w:ascii="宋体" w:hAnsi="宋体"/>
          <w:sz w:val="24"/>
          <w:szCs w:val="24"/>
        </w:rPr>
        <w:t>.1遴选人将评审小组评审结果上报医院相关会议审批通过后，通知中选的申请人，遴选结束后15天内，未接到通知视为未中选，不再另行通知。</w:t>
      </w:r>
    </w:p>
    <w:p w14:paraId="3BA95DB0">
      <w:pPr>
        <w:spacing w:line="360" w:lineRule="auto"/>
        <w:rPr>
          <w:rFonts w:ascii="宋体" w:hAnsi="宋体"/>
          <w:b/>
          <w:sz w:val="24"/>
          <w:szCs w:val="24"/>
        </w:rPr>
      </w:pPr>
      <w:r>
        <w:rPr>
          <w:rFonts w:hint="eastAsia" w:ascii="宋体" w:hAnsi="宋体"/>
          <w:b/>
          <w:sz w:val="24"/>
          <w:szCs w:val="24"/>
        </w:rPr>
        <w:t>1</w:t>
      </w:r>
      <w:r>
        <w:rPr>
          <w:rFonts w:ascii="宋体" w:hAnsi="宋体"/>
          <w:b/>
          <w:sz w:val="24"/>
          <w:szCs w:val="24"/>
        </w:rPr>
        <w:t>5</w:t>
      </w:r>
      <w:r>
        <w:rPr>
          <w:rFonts w:hint="eastAsia" w:ascii="宋体" w:hAnsi="宋体"/>
          <w:b/>
          <w:sz w:val="24"/>
          <w:szCs w:val="24"/>
        </w:rPr>
        <w:t>.合同订立</w:t>
      </w:r>
    </w:p>
    <w:p w14:paraId="31B56C75">
      <w:pPr>
        <w:snapToGrid w:val="0"/>
        <w:spacing w:line="360" w:lineRule="auto"/>
        <w:rPr>
          <w:rFonts w:ascii="宋体" w:hAnsi="宋体"/>
          <w:sz w:val="24"/>
          <w:szCs w:val="24"/>
        </w:rPr>
      </w:pPr>
      <w:r>
        <w:rPr>
          <w:rFonts w:hint="eastAsia" w:ascii="宋体" w:hAnsi="宋体"/>
          <w:sz w:val="24"/>
          <w:szCs w:val="24"/>
        </w:rPr>
        <w:t>1</w:t>
      </w:r>
      <w:r>
        <w:rPr>
          <w:rFonts w:ascii="宋体" w:hAnsi="宋体"/>
          <w:sz w:val="24"/>
          <w:szCs w:val="24"/>
        </w:rPr>
        <w:t>5</w:t>
      </w:r>
      <w:r>
        <w:rPr>
          <w:rFonts w:hint="eastAsia" w:ascii="宋体" w:hAnsi="宋体"/>
          <w:sz w:val="24"/>
          <w:szCs w:val="24"/>
        </w:rPr>
        <w:t>.1在收到中选通知</w:t>
      </w:r>
      <w:r>
        <w:rPr>
          <w:rFonts w:ascii="宋体" w:hAnsi="宋体"/>
          <w:sz w:val="24"/>
          <w:szCs w:val="24"/>
        </w:rPr>
        <w:t>30</w:t>
      </w:r>
      <w:r>
        <w:rPr>
          <w:rFonts w:hint="eastAsia" w:ascii="宋体" w:hAnsi="宋体"/>
          <w:sz w:val="24"/>
          <w:szCs w:val="24"/>
        </w:rPr>
        <w:t>天以内，中选单位应当与遴选人按国家标准范本订立委托招标代理合同，合同期限为三年，招标代理委托合同不再按招标项目一事一签。</w:t>
      </w:r>
    </w:p>
    <w:p w14:paraId="1DB7F05E">
      <w:pPr>
        <w:numPr>
          <w:ilvl w:val="0"/>
          <w:numId w:val="3"/>
        </w:numPr>
        <w:adjustRightInd w:val="0"/>
        <w:snapToGrid w:val="0"/>
        <w:spacing w:line="360" w:lineRule="auto"/>
        <w:jc w:val="center"/>
        <w:rPr>
          <w:rFonts w:ascii="宋体" w:hAnsi="宋体"/>
          <w:b/>
          <w:bCs/>
          <w:kern w:val="44"/>
          <w:sz w:val="32"/>
          <w:szCs w:val="30"/>
        </w:rPr>
      </w:pPr>
      <w:r>
        <w:rPr>
          <w:rFonts w:hint="eastAsia" w:ascii="宋体" w:hAnsi="宋体"/>
          <w:b/>
          <w:bCs/>
          <w:kern w:val="44"/>
          <w:sz w:val="32"/>
          <w:szCs w:val="30"/>
        </w:rPr>
        <w:t>服务需求与技术需求</w:t>
      </w:r>
    </w:p>
    <w:p w14:paraId="34FEA1DA">
      <w:pPr>
        <w:spacing w:line="360" w:lineRule="auto"/>
        <w:rPr>
          <w:rFonts w:ascii="宋体" w:hAnsi="宋体"/>
          <w:b/>
          <w:sz w:val="24"/>
          <w:szCs w:val="24"/>
        </w:rPr>
      </w:pPr>
      <w:r>
        <w:rPr>
          <w:rFonts w:ascii="宋体" w:hAnsi="宋体"/>
          <w:b/>
          <w:sz w:val="24"/>
          <w:szCs w:val="24"/>
        </w:rPr>
        <w:t>16.</w:t>
      </w:r>
      <w:r>
        <w:rPr>
          <w:rFonts w:hint="eastAsia" w:ascii="宋体" w:hAnsi="宋体"/>
          <w:b/>
          <w:sz w:val="24"/>
          <w:szCs w:val="24"/>
        </w:rPr>
        <w:t>团队组成及服务要求</w:t>
      </w:r>
    </w:p>
    <w:p w14:paraId="15F18FAB">
      <w:pPr>
        <w:adjustRightInd w:val="0"/>
        <w:snapToGrid w:val="0"/>
        <w:spacing w:line="360" w:lineRule="auto"/>
        <w:rPr>
          <w:rFonts w:ascii="宋体" w:hAnsi="宋体"/>
          <w:sz w:val="24"/>
          <w:szCs w:val="24"/>
        </w:rPr>
      </w:pPr>
      <w:r>
        <w:rPr>
          <w:rFonts w:ascii="宋体" w:hAnsi="宋体"/>
          <w:sz w:val="24"/>
          <w:szCs w:val="24"/>
        </w:rPr>
        <w:t>16.1</w:t>
      </w:r>
      <w:r>
        <w:rPr>
          <w:rFonts w:hint="eastAsia" w:ascii="宋体" w:hAnsi="宋体"/>
          <w:sz w:val="24"/>
          <w:szCs w:val="24"/>
        </w:rPr>
        <w:t>配备由熟悉招投标业务、合同商务管理、与招标项目相适应的专业技术人员共同组成的服务团队。</w:t>
      </w:r>
    </w:p>
    <w:p w14:paraId="032EBFD5">
      <w:pPr>
        <w:adjustRightInd w:val="0"/>
        <w:snapToGrid w:val="0"/>
        <w:spacing w:line="360" w:lineRule="auto"/>
        <w:rPr>
          <w:rFonts w:ascii="宋体" w:hAnsi="宋体"/>
          <w:sz w:val="24"/>
          <w:szCs w:val="24"/>
        </w:rPr>
      </w:pPr>
      <w:r>
        <w:rPr>
          <w:rFonts w:hint="eastAsia" w:ascii="宋体" w:hAnsi="宋体"/>
          <w:sz w:val="24"/>
          <w:szCs w:val="24"/>
        </w:rPr>
        <w:t>1</w:t>
      </w:r>
      <w:r>
        <w:rPr>
          <w:rFonts w:ascii="宋体" w:hAnsi="宋体"/>
          <w:sz w:val="24"/>
          <w:szCs w:val="24"/>
        </w:rPr>
        <w:t>6.2</w:t>
      </w:r>
      <w:r>
        <w:rPr>
          <w:rFonts w:hint="eastAsia" w:ascii="宋体" w:hAnsi="宋体"/>
          <w:sz w:val="24"/>
          <w:szCs w:val="24"/>
        </w:rPr>
        <w:t>应指定专人负责与遴选人的对接及总协调，针对遴选人组建专门的项目组。项目组配备与招标项目相适应的专业技术人员，人员要具有相应的职业资格，有较强的服务意识，严格遵守职业道德，廉洁自律。项目组至少5人：项目经理1人，其他项目组成员不少于4人。</w:t>
      </w:r>
    </w:p>
    <w:p w14:paraId="1F487AA3">
      <w:pPr>
        <w:adjustRightInd w:val="0"/>
        <w:snapToGrid w:val="0"/>
        <w:spacing w:line="360" w:lineRule="auto"/>
        <w:rPr>
          <w:rFonts w:ascii="宋体" w:hAnsi="宋体"/>
          <w:sz w:val="24"/>
          <w:szCs w:val="24"/>
        </w:rPr>
      </w:pPr>
      <w:r>
        <w:rPr>
          <w:rFonts w:hint="eastAsia" w:ascii="宋体" w:hAnsi="宋体"/>
          <w:sz w:val="24"/>
          <w:szCs w:val="24"/>
        </w:rPr>
        <w:t>1</w:t>
      </w:r>
      <w:r>
        <w:rPr>
          <w:rFonts w:ascii="宋体" w:hAnsi="宋体"/>
          <w:sz w:val="24"/>
          <w:szCs w:val="24"/>
        </w:rPr>
        <w:t>6.3</w:t>
      </w:r>
      <w:r>
        <w:rPr>
          <w:rFonts w:hint="eastAsia" w:ascii="宋体" w:hAnsi="宋体"/>
          <w:sz w:val="24"/>
          <w:szCs w:val="24"/>
        </w:rPr>
        <w:t>在代理服务期间，中选人未经允许不可随意更换团队成员，否则，遴选人有权暂停其代理服务资格。如确需调整须提前得到遴选人许可，且调整后的人员必须满足相关专业、经验要求。遴选人根据招标代理服务表现，有权要求更换医院服务团队。</w:t>
      </w:r>
    </w:p>
    <w:p w14:paraId="7F06000D">
      <w:pPr>
        <w:adjustRightInd w:val="0"/>
        <w:snapToGrid w:val="0"/>
        <w:spacing w:line="360" w:lineRule="auto"/>
        <w:rPr>
          <w:rFonts w:ascii="宋体" w:hAnsi="宋体"/>
          <w:b/>
          <w:sz w:val="24"/>
          <w:szCs w:val="24"/>
        </w:rPr>
      </w:pPr>
      <w:r>
        <w:rPr>
          <w:rFonts w:ascii="宋体" w:hAnsi="宋体"/>
          <w:b/>
          <w:sz w:val="24"/>
          <w:szCs w:val="24"/>
        </w:rPr>
        <w:t>17.</w:t>
      </w:r>
      <w:r>
        <w:rPr>
          <w:rFonts w:hint="eastAsia" w:ascii="宋体" w:hAnsi="宋体"/>
          <w:b/>
          <w:sz w:val="24"/>
          <w:szCs w:val="24"/>
        </w:rPr>
        <w:t>成果文件编制要求</w:t>
      </w:r>
    </w:p>
    <w:p w14:paraId="471CD176">
      <w:pPr>
        <w:spacing w:line="360" w:lineRule="auto"/>
        <w:rPr>
          <w:rFonts w:ascii="宋体" w:hAnsi="宋体"/>
          <w:sz w:val="24"/>
          <w:szCs w:val="24"/>
        </w:rPr>
      </w:pPr>
      <w:r>
        <w:rPr>
          <w:rFonts w:ascii="宋体" w:hAnsi="宋体"/>
          <w:sz w:val="24"/>
          <w:szCs w:val="24"/>
        </w:rPr>
        <w:t>17.1</w:t>
      </w:r>
      <w:r>
        <w:rPr>
          <w:rFonts w:hint="eastAsia" w:ascii="宋体" w:hAnsi="宋体"/>
          <w:sz w:val="24"/>
          <w:szCs w:val="24"/>
        </w:rPr>
        <w:t>选用符合政策法规的资格预审文件、招标文件、合同的模板，并结合项目的特点对招标文件做针对性修改。</w:t>
      </w:r>
    </w:p>
    <w:p w14:paraId="379C6A18">
      <w:pPr>
        <w:spacing w:line="360" w:lineRule="auto"/>
        <w:rPr>
          <w:rFonts w:ascii="宋体" w:hAnsi="宋体"/>
          <w:sz w:val="24"/>
          <w:szCs w:val="24"/>
        </w:rPr>
      </w:pPr>
      <w:r>
        <w:rPr>
          <w:rFonts w:ascii="宋体" w:hAnsi="宋体"/>
          <w:sz w:val="24"/>
          <w:szCs w:val="24"/>
        </w:rPr>
        <w:t>17.2</w:t>
      </w:r>
      <w:r>
        <w:rPr>
          <w:rFonts w:hint="eastAsia" w:ascii="宋体" w:hAnsi="宋体"/>
          <w:sz w:val="24"/>
          <w:szCs w:val="24"/>
        </w:rPr>
        <w:t>预审文件、招标文件中相关联的内容要前后统一。</w:t>
      </w:r>
    </w:p>
    <w:p w14:paraId="069EE67A">
      <w:pPr>
        <w:spacing w:line="360" w:lineRule="auto"/>
        <w:rPr>
          <w:rFonts w:ascii="宋体" w:hAnsi="宋体"/>
          <w:sz w:val="24"/>
          <w:szCs w:val="24"/>
        </w:rPr>
      </w:pPr>
      <w:r>
        <w:rPr>
          <w:rFonts w:ascii="宋体" w:hAnsi="宋体"/>
          <w:sz w:val="24"/>
          <w:szCs w:val="24"/>
        </w:rPr>
        <w:t>17.3</w:t>
      </w:r>
      <w:r>
        <w:rPr>
          <w:rFonts w:hint="eastAsia" w:ascii="宋体" w:hAnsi="宋体"/>
          <w:sz w:val="24"/>
          <w:szCs w:val="24"/>
        </w:rPr>
        <w:t>不得生硬套用其他文件模板，不得有其它项目的特有信息及不相关信息。</w:t>
      </w:r>
    </w:p>
    <w:p w14:paraId="18FC7BF0">
      <w:pPr>
        <w:spacing w:line="360" w:lineRule="auto"/>
        <w:rPr>
          <w:rFonts w:ascii="宋体" w:hAnsi="宋体"/>
          <w:sz w:val="24"/>
          <w:szCs w:val="24"/>
        </w:rPr>
      </w:pPr>
      <w:r>
        <w:rPr>
          <w:rFonts w:ascii="宋体" w:hAnsi="宋体"/>
          <w:sz w:val="24"/>
          <w:szCs w:val="24"/>
        </w:rPr>
        <w:t>17.4</w:t>
      </w:r>
      <w:r>
        <w:rPr>
          <w:rFonts w:hint="eastAsia" w:ascii="宋体" w:hAnsi="宋体"/>
          <w:sz w:val="24"/>
          <w:szCs w:val="24"/>
        </w:rPr>
        <w:t>编制招标文件前要做必要的调查研究，积极与招标人沟通，充分理解招标人项目需求、招标目的，并对招标人进行专业性的引导与提示，协助招标人提出全面、合理、合规且没有指向性的技术、服务需求。如有需要，可按遴选人需求协助提供专家咨询等支持服务。</w:t>
      </w:r>
    </w:p>
    <w:p w14:paraId="292B60B5">
      <w:pPr>
        <w:spacing w:line="360" w:lineRule="auto"/>
        <w:rPr>
          <w:rFonts w:ascii="宋体" w:hAnsi="宋体"/>
          <w:sz w:val="24"/>
          <w:szCs w:val="24"/>
        </w:rPr>
      </w:pPr>
      <w:r>
        <w:rPr>
          <w:rFonts w:ascii="宋体" w:hAnsi="宋体"/>
          <w:sz w:val="24"/>
          <w:szCs w:val="24"/>
        </w:rPr>
        <w:t>17.5</w:t>
      </w:r>
      <w:r>
        <w:rPr>
          <w:rFonts w:hint="eastAsia" w:ascii="宋体" w:hAnsi="宋体"/>
          <w:sz w:val="24"/>
          <w:szCs w:val="24"/>
        </w:rPr>
        <w:t>填写招标文件、合同实质性条款，并将填写的注意事项、关注点，条款设置的目的、意义向招标人进行宣贯，便于招标人对重要条款进行决策。对招标人针对招标文件、合同条款等提出的任何疑问进行解释。</w:t>
      </w:r>
    </w:p>
    <w:p w14:paraId="5CAD847F">
      <w:pPr>
        <w:spacing w:line="360" w:lineRule="auto"/>
        <w:rPr>
          <w:rFonts w:ascii="宋体" w:hAnsi="宋体"/>
          <w:sz w:val="24"/>
          <w:szCs w:val="24"/>
        </w:rPr>
      </w:pPr>
      <w:r>
        <w:rPr>
          <w:rFonts w:ascii="宋体" w:hAnsi="宋体"/>
          <w:sz w:val="24"/>
          <w:szCs w:val="24"/>
        </w:rPr>
        <w:t>17.6</w:t>
      </w:r>
      <w:r>
        <w:rPr>
          <w:rFonts w:hint="eastAsia" w:ascii="宋体" w:hAnsi="宋体"/>
          <w:sz w:val="24"/>
          <w:szCs w:val="24"/>
        </w:rPr>
        <w:t>招标文件等文稿需要在三个工作日内编制完成。</w:t>
      </w:r>
    </w:p>
    <w:p w14:paraId="07C0E7D0">
      <w:pPr>
        <w:spacing w:line="360" w:lineRule="auto"/>
        <w:rPr>
          <w:rFonts w:ascii="宋体" w:hAnsi="宋体"/>
          <w:sz w:val="24"/>
          <w:szCs w:val="24"/>
        </w:rPr>
      </w:pPr>
      <w:r>
        <w:rPr>
          <w:rFonts w:ascii="宋体" w:hAnsi="宋体"/>
          <w:sz w:val="24"/>
          <w:szCs w:val="24"/>
        </w:rPr>
        <w:t>17.7</w:t>
      </w:r>
      <w:r>
        <w:rPr>
          <w:rFonts w:hint="eastAsia" w:ascii="宋体" w:hAnsi="宋体"/>
          <w:sz w:val="24"/>
          <w:szCs w:val="24"/>
        </w:rPr>
        <w:t>对</w:t>
      </w:r>
      <w:r>
        <w:rPr>
          <w:rFonts w:ascii="宋体" w:hAnsi="宋体"/>
          <w:sz w:val="24"/>
          <w:szCs w:val="24"/>
        </w:rPr>
        <w:t>遴选人提</w:t>
      </w:r>
      <w:r>
        <w:rPr>
          <w:rFonts w:hint="eastAsia" w:ascii="宋体" w:hAnsi="宋体"/>
          <w:sz w:val="24"/>
          <w:szCs w:val="24"/>
        </w:rPr>
        <w:t>出</w:t>
      </w:r>
      <w:r>
        <w:rPr>
          <w:rFonts w:ascii="宋体" w:hAnsi="宋体"/>
          <w:sz w:val="24"/>
          <w:szCs w:val="24"/>
        </w:rPr>
        <w:t>的修改意见在</w:t>
      </w:r>
      <w:r>
        <w:rPr>
          <w:rFonts w:hint="eastAsia" w:ascii="宋体" w:hAnsi="宋体"/>
          <w:sz w:val="24"/>
          <w:szCs w:val="24"/>
        </w:rPr>
        <w:t>一个工作日内完成。</w:t>
      </w:r>
    </w:p>
    <w:p w14:paraId="0E89CAB7">
      <w:pPr>
        <w:spacing w:line="360" w:lineRule="auto"/>
        <w:rPr>
          <w:rFonts w:ascii="宋体" w:hAnsi="宋体"/>
          <w:sz w:val="24"/>
          <w:szCs w:val="24"/>
        </w:rPr>
      </w:pPr>
      <w:r>
        <w:rPr>
          <w:rFonts w:ascii="宋体" w:hAnsi="宋体"/>
          <w:sz w:val="24"/>
          <w:szCs w:val="24"/>
        </w:rPr>
        <w:t>17.8</w:t>
      </w:r>
      <w:r>
        <w:rPr>
          <w:rFonts w:hint="eastAsia" w:ascii="宋体" w:hAnsi="宋体"/>
          <w:sz w:val="24"/>
          <w:szCs w:val="24"/>
        </w:rPr>
        <w:t>按相关法规和医院要求按时发布相关公告，包括但不限于招标公告、中标公告、废标公告及更正公告，内容需要在二个工作日内编制完成。</w:t>
      </w:r>
    </w:p>
    <w:p w14:paraId="4986DCC7">
      <w:pPr>
        <w:spacing w:line="360" w:lineRule="auto"/>
        <w:rPr>
          <w:rFonts w:ascii="宋体" w:hAnsi="宋体" w:cs="宋体"/>
          <w:kern w:val="0"/>
          <w:sz w:val="24"/>
        </w:rPr>
      </w:pPr>
      <w:r>
        <w:rPr>
          <w:rFonts w:hint="eastAsia" w:ascii="宋体" w:hAnsi="宋体"/>
          <w:sz w:val="24"/>
          <w:szCs w:val="24"/>
        </w:rPr>
        <w:t>1</w:t>
      </w:r>
      <w:r>
        <w:rPr>
          <w:rFonts w:ascii="宋体" w:hAnsi="宋体"/>
          <w:sz w:val="24"/>
          <w:szCs w:val="24"/>
        </w:rPr>
        <w:t>7.9</w:t>
      </w:r>
      <w:r>
        <w:rPr>
          <w:rFonts w:hint="eastAsia" w:ascii="宋体" w:hAnsi="宋体"/>
          <w:sz w:val="24"/>
          <w:szCs w:val="24"/>
        </w:rPr>
        <w:t>项目结束后，按要求</w:t>
      </w:r>
      <w:r>
        <w:rPr>
          <w:rFonts w:hint="eastAsia" w:ascii="宋体" w:hAnsi="宋体" w:cs="宋体"/>
          <w:kern w:val="0"/>
          <w:sz w:val="24"/>
        </w:rPr>
        <w:t>提供项目归档档案，并按照遴选人的要求及时提供过往招标档案查询服务。</w:t>
      </w:r>
    </w:p>
    <w:p w14:paraId="3AEE4508">
      <w:pPr>
        <w:spacing w:line="360" w:lineRule="auto"/>
        <w:rPr>
          <w:rFonts w:ascii="宋体" w:hAnsi="宋体" w:cs="宋体"/>
          <w:kern w:val="0"/>
          <w:sz w:val="24"/>
        </w:rPr>
      </w:pPr>
      <w:r>
        <w:rPr>
          <w:rFonts w:hint="eastAsia" w:ascii="宋体" w:hAnsi="宋体" w:cs="宋体"/>
          <w:sz w:val="24"/>
          <w:szCs w:val="24"/>
        </w:rPr>
        <w:t>17.10</w:t>
      </w:r>
      <w:r>
        <w:rPr>
          <w:rFonts w:ascii="宋体" w:hAnsi="宋体" w:cs="宋体"/>
          <w:sz w:val="24"/>
          <w:szCs w:val="24"/>
        </w:rPr>
        <w:t>代理机构因编制招标文件出现重大瑕疵导致废标、投诉、医院损失的，约定赔偿条款</w:t>
      </w:r>
      <w:r>
        <w:rPr>
          <w:rFonts w:hint="eastAsia" w:ascii="宋体" w:hAnsi="宋体" w:cs="宋体"/>
          <w:sz w:val="24"/>
          <w:szCs w:val="24"/>
        </w:rPr>
        <w:t>。</w:t>
      </w:r>
    </w:p>
    <w:p w14:paraId="540CB158">
      <w:pPr>
        <w:spacing w:line="360" w:lineRule="auto"/>
        <w:rPr>
          <w:rFonts w:ascii="宋体" w:hAnsi="宋体"/>
          <w:sz w:val="24"/>
          <w:szCs w:val="24"/>
        </w:rPr>
      </w:pPr>
      <w:r>
        <w:rPr>
          <w:rFonts w:ascii="宋体" w:hAnsi="宋体"/>
          <w:b/>
          <w:sz w:val="24"/>
          <w:szCs w:val="24"/>
        </w:rPr>
        <w:t>18.</w:t>
      </w:r>
      <w:r>
        <w:rPr>
          <w:rFonts w:hint="eastAsia" w:ascii="宋体" w:hAnsi="宋体"/>
          <w:b/>
          <w:sz w:val="24"/>
          <w:szCs w:val="24"/>
        </w:rPr>
        <w:t>其他服务要求</w:t>
      </w:r>
    </w:p>
    <w:p w14:paraId="05FC5FA7">
      <w:pPr>
        <w:spacing w:line="360" w:lineRule="auto"/>
        <w:rPr>
          <w:rFonts w:ascii="宋体" w:hAnsi="宋体"/>
          <w:sz w:val="24"/>
          <w:szCs w:val="24"/>
        </w:rPr>
      </w:pPr>
      <w:r>
        <w:rPr>
          <w:rFonts w:ascii="宋体" w:hAnsi="宋体"/>
          <w:sz w:val="24"/>
          <w:szCs w:val="24"/>
        </w:rPr>
        <w:t>18.1</w:t>
      </w:r>
      <w:r>
        <w:rPr>
          <w:rFonts w:hint="eastAsia" w:ascii="宋体" w:hAnsi="宋体"/>
          <w:sz w:val="24"/>
          <w:szCs w:val="24"/>
        </w:rPr>
        <w:t>向遴选人宣贯并解释与招标投标相关法律法规、主管部门的规定。</w:t>
      </w:r>
    </w:p>
    <w:p w14:paraId="3DEE459C">
      <w:pPr>
        <w:spacing w:line="360" w:lineRule="auto"/>
        <w:rPr>
          <w:rFonts w:ascii="宋体" w:hAnsi="宋体"/>
          <w:sz w:val="24"/>
          <w:szCs w:val="24"/>
        </w:rPr>
      </w:pPr>
      <w:r>
        <w:rPr>
          <w:rFonts w:ascii="宋体" w:hAnsi="宋体"/>
          <w:sz w:val="24"/>
          <w:szCs w:val="24"/>
        </w:rPr>
        <w:t>18.2</w:t>
      </w:r>
      <w:r>
        <w:rPr>
          <w:rFonts w:hint="eastAsia" w:ascii="宋体" w:hAnsi="宋体"/>
          <w:sz w:val="24"/>
          <w:szCs w:val="24"/>
        </w:rPr>
        <w:t>向遴选人提供有关法律、法规、商务、技术等方面的业务咨询。</w:t>
      </w:r>
    </w:p>
    <w:p w14:paraId="78F1577F">
      <w:pPr>
        <w:spacing w:line="360" w:lineRule="auto"/>
        <w:rPr>
          <w:rFonts w:ascii="宋体" w:hAnsi="宋体"/>
          <w:sz w:val="24"/>
          <w:szCs w:val="24"/>
        </w:rPr>
      </w:pPr>
      <w:r>
        <w:rPr>
          <w:rFonts w:ascii="宋体" w:hAnsi="宋体"/>
          <w:sz w:val="24"/>
          <w:szCs w:val="24"/>
        </w:rPr>
        <w:t>18.3</w:t>
      </w:r>
      <w:r>
        <w:rPr>
          <w:rFonts w:hint="eastAsia" w:ascii="宋体" w:hAnsi="宋体"/>
          <w:sz w:val="24"/>
          <w:szCs w:val="24"/>
        </w:rPr>
        <w:t>积极配合并协助招标人完成主管部门对招标遴选人的有关招标管理要求，包括但不限于配合审计、巡视等相关工作。</w:t>
      </w:r>
    </w:p>
    <w:p w14:paraId="3EA52140">
      <w:pPr>
        <w:spacing w:line="360" w:lineRule="auto"/>
        <w:rPr>
          <w:rFonts w:ascii="宋体" w:hAnsi="宋体"/>
          <w:sz w:val="24"/>
          <w:szCs w:val="24"/>
        </w:rPr>
      </w:pPr>
      <w:r>
        <w:rPr>
          <w:rFonts w:ascii="宋体" w:hAnsi="宋体"/>
          <w:sz w:val="24"/>
          <w:szCs w:val="24"/>
        </w:rPr>
        <w:t>18.4</w:t>
      </w:r>
      <w:r>
        <w:rPr>
          <w:rFonts w:hint="eastAsia" w:ascii="宋体" w:hAnsi="宋体"/>
          <w:sz w:val="24"/>
          <w:szCs w:val="24"/>
        </w:rPr>
        <w:t>妥善处理供应商对招标文件、招标过程及招标结果提出的质疑的处理。建立质疑、投诉情况档案，设定质疑预防机制。</w:t>
      </w:r>
    </w:p>
    <w:p w14:paraId="5DBD6499">
      <w:pPr>
        <w:adjustRightInd w:val="0"/>
        <w:snapToGrid w:val="0"/>
        <w:spacing w:line="360" w:lineRule="auto"/>
        <w:jc w:val="left"/>
        <w:rPr>
          <w:rFonts w:ascii="宋体" w:hAnsi="宋体" w:cs="仿宋_GB2312"/>
          <w:color w:val="000000"/>
          <w:sz w:val="24"/>
          <w:szCs w:val="24"/>
        </w:rPr>
      </w:pPr>
      <w:r>
        <w:rPr>
          <w:rFonts w:ascii="宋体" w:hAnsi="宋体" w:cs="仿宋_GB2312"/>
          <w:color w:val="000000"/>
          <w:sz w:val="24"/>
          <w:szCs w:val="24"/>
        </w:rPr>
        <w:t>18.5</w:t>
      </w:r>
      <w:r>
        <w:rPr>
          <w:rFonts w:hint="eastAsia" w:ascii="宋体" w:hAnsi="宋体" w:cs="仿宋_GB2312"/>
          <w:color w:val="000000"/>
          <w:sz w:val="24"/>
          <w:szCs w:val="24"/>
        </w:rPr>
        <w:t>申请人</w:t>
      </w:r>
      <w:r>
        <w:rPr>
          <w:rFonts w:hint="eastAsia" w:ascii="宋体" w:hAnsi="宋体"/>
          <w:sz w:val="24"/>
          <w:szCs w:val="24"/>
        </w:rPr>
        <w:t>应当制定严格的保密和档案管理制度，维护医院的合法权益，承担有关保密义务。除有关监督管理部门依法进行核查外，申请人应当禁止任何单位或个人查阅档案资料。</w:t>
      </w:r>
    </w:p>
    <w:p w14:paraId="2A383CA6">
      <w:pPr>
        <w:adjustRightInd w:val="0"/>
        <w:snapToGrid w:val="0"/>
        <w:spacing w:line="360" w:lineRule="auto"/>
        <w:rPr>
          <w:rFonts w:ascii="宋体" w:hAnsi="宋体" w:cs="仿宋_GB2312"/>
          <w:color w:val="000000"/>
          <w:sz w:val="24"/>
          <w:szCs w:val="24"/>
        </w:rPr>
      </w:pPr>
      <w:r>
        <w:rPr>
          <w:rFonts w:ascii="宋体" w:hAnsi="宋体"/>
          <w:sz w:val="24"/>
          <w:szCs w:val="24"/>
        </w:rPr>
        <w:t>18.6</w:t>
      </w:r>
      <w:r>
        <w:rPr>
          <w:rFonts w:hint="eastAsia" w:ascii="宋体" w:hAnsi="宋体"/>
          <w:sz w:val="24"/>
          <w:szCs w:val="24"/>
        </w:rPr>
        <w:t>申请人</w:t>
      </w:r>
      <w:r>
        <w:rPr>
          <w:rFonts w:hint="eastAsia" w:ascii="宋体" w:hAnsi="宋体" w:cs="仿宋_GB2312"/>
          <w:color w:val="000000"/>
          <w:sz w:val="24"/>
          <w:szCs w:val="24"/>
        </w:rPr>
        <w:t>认为需要加以说明的其他内容。</w:t>
      </w:r>
    </w:p>
    <w:p w14:paraId="1477F30E">
      <w:pPr>
        <w:numPr>
          <w:ilvl w:val="0"/>
          <w:numId w:val="3"/>
        </w:numPr>
        <w:adjustRightInd w:val="0"/>
        <w:snapToGrid w:val="0"/>
        <w:spacing w:line="360" w:lineRule="auto"/>
        <w:jc w:val="center"/>
        <w:rPr>
          <w:rFonts w:ascii="宋体" w:hAnsi="宋体"/>
          <w:b/>
          <w:bCs/>
          <w:sz w:val="32"/>
          <w:szCs w:val="32"/>
        </w:rPr>
      </w:pPr>
      <w:r>
        <w:rPr>
          <w:rFonts w:hint="eastAsia" w:ascii="宋体" w:hAnsi="宋体"/>
          <w:b/>
          <w:bCs/>
          <w:sz w:val="32"/>
          <w:szCs w:val="32"/>
        </w:rPr>
        <w:t>评分表</w:t>
      </w:r>
    </w:p>
    <w:p w14:paraId="39F86FE0">
      <w:pPr>
        <w:snapToGrid w:val="0"/>
        <w:spacing w:line="360" w:lineRule="auto"/>
        <w:ind w:firstLine="480" w:firstLineChars="200"/>
        <w:rPr>
          <w:rFonts w:ascii="宋体" w:hAnsi="宋体" w:cs="宋体"/>
          <w:sz w:val="24"/>
        </w:rPr>
      </w:pPr>
      <w:r>
        <w:rPr>
          <w:rFonts w:hint="eastAsia" w:ascii="宋体" w:hAnsi="宋体" w:cs="宋体"/>
          <w:sz w:val="24"/>
        </w:rPr>
        <w:t>本次评标采用综合评分法。每一申请人的最终得分为所有评委给其评分的算术平均值。</w:t>
      </w:r>
    </w:p>
    <w:p w14:paraId="73267EBD">
      <w:pPr>
        <w:spacing w:line="360" w:lineRule="auto"/>
        <w:ind w:firstLine="480"/>
        <w:rPr>
          <w:rFonts w:ascii="宋体" w:hAnsi="宋体" w:cs="宋体"/>
          <w:sz w:val="24"/>
        </w:rPr>
      </w:pPr>
      <w:r>
        <w:rPr>
          <w:rFonts w:hint="eastAsia" w:ascii="宋体" w:hAnsi="宋体" w:cs="宋体"/>
          <w:sz w:val="24"/>
        </w:rPr>
        <w:t>本项目评分标准为：</w:t>
      </w:r>
    </w:p>
    <w:tbl>
      <w:tblPr>
        <w:tblStyle w:val="1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7"/>
        <w:gridCol w:w="4773"/>
      </w:tblGrid>
      <w:tr w14:paraId="7587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vAlign w:val="center"/>
          </w:tcPr>
          <w:p w14:paraId="2D7BF7BD">
            <w:pPr>
              <w:spacing w:line="360" w:lineRule="auto"/>
              <w:jc w:val="center"/>
              <w:rPr>
                <w:rFonts w:ascii="宋体" w:hAnsi="宋体" w:cs="宋体"/>
                <w:b/>
                <w:sz w:val="24"/>
              </w:rPr>
            </w:pPr>
            <w:r>
              <w:rPr>
                <w:rFonts w:hint="eastAsia" w:ascii="宋体" w:hAnsi="宋体" w:cs="宋体"/>
                <w:b/>
                <w:sz w:val="24"/>
              </w:rPr>
              <w:t>评分因素</w:t>
            </w:r>
          </w:p>
        </w:tc>
        <w:tc>
          <w:tcPr>
            <w:tcW w:w="4773" w:type="dxa"/>
            <w:vAlign w:val="center"/>
          </w:tcPr>
          <w:p w14:paraId="63C419B0">
            <w:pPr>
              <w:spacing w:line="360" w:lineRule="auto"/>
              <w:jc w:val="center"/>
              <w:rPr>
                <w:rFonts w:ascii="宋体" w:hAnsi="宋体" w:cs="宋体"/>
                <w:b/>
                <w:sz w:val="24"/>
              </w:rPr>
            </w:pPr>
            <w:r>
              <w:rPr>
                <w:rFonts w:hint="eastAsia" w:ascii="宋体" w:hAnsi="宋体" w:cs="宋体"/>
                <w:b/>
                <w:sz w:val="24"/>
              </w:rPr>
              <w:t>分值分配</w:t>
            </w:r>
          </w:p>
        </w:tc>
      </w:tr>
      <w:tr w14:paraId="191B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vAlign w:val="center"/>
          </w:tcPr>
          <w:p w14:paraId="163401DA">
            <w:pPr>
              <w:spacing w:line="276" w:lineRule="auto"/>
              <w:jc w:val="center"/>
              <w:rPr>
                <w:rFonts w:ascii="宋体" w:hAnsi="宋体" w:cs="宋体"/>
                <w:sz w:val="24"/>
              </w:rPr>
            </w:pPr>
            <w:r>
              <w:rPr>
                <w:rFonts w:hint="eastAsia" w:ascii="宋体" w:hAnsi="宋体" w:cs="宋体"/>
                <w:sz w:val="24"/>
              </w:rPr>
              <w:t>价格部分</w:t>
            </w:r>
          </w:p>
        </w:tc>
        <w:tc>
          <w:tcPr>
            <w:tcW w:w="4773" w:type="dxa"/>
            <w:vAlign w:val="center"/>
          </w:tcPr>
          <w:p w14:paraId="565DFD68">
            <w:pPr>
              <w:spacing w:line="276" w:lineRule="auto"/>
              <w:jc w:val="center"/>
              <w:rPr>
                <w:rFonts w:ascii="宋体" w:hAnsi="宋体" w:cs="宋体"/>
                <w:sz w:val="24"/>
              </w:rPr>
            </w:pPr>
            <w:r>
              <w:rPr>
                <w:rFonts w:hint="eastAsia" w:ascii="宋体" w:hAnsi="宋体" w:cs="宋体"/>
                <w:sz w:val="24"/>
              </w:rPr>
              <w:t>1</w:t>
            </w:r>
            <w:r>
              <w:rPr>
                <w:rFonts w:ascii="宋体" w:hAnsi="宋体" w:cs="宋体"/>
                <w:sz w:val="24"/>
              </w:rPr>
              <w:t>5</w:t>
            </w:r>
            <w:r>
              <w:rPr>
                <w:rFonts w:hint="eastAsia" w:ascii="宋体" w:hAnsi="宋体" w:cs="宋体"/>
                <w:sz w:val="24"/>
              </w:rPr>
              <w:t>分</w:t>
            </w:r>
          </w:p>
        </w:tc>
      </w:tr>
      <w:tr w14:paraId="3DF9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vAlign w:val="center"/>
          </w:tcPr>
          <w:p w14:paraId="0FAB41D8">
            <w:pPr>
              <w:spacing w:line="276" w:lineRule="auto"/>
              <w:jc w:val="center"/>
              <w:rPr>
                <w:rFonts w:ascii="宋体" w:hAnsi="宋体" w:cs="宋体"/>
                <w:sz w:val="24"/>
              </w:rPr>
            </w:pPr>
            <w:r>
              <w:rPr>
                <w:rFonts w:hint="eastAsia" w:ascii="宋体" w:hAnsi="宋体" w:cs="宋体"/>
                <w:sz w:val="24"/>
              </w:rPr>
              <w:t>商务部分</w:t>
            </w:r>
          </w:p>
        </w:tc>
        <w:tc>
          <w:tcPr>
            <w:tcW w:w="4773" w:type="dxa"/>
            <w:vAlign w:val="center"/>
          </w:tcPr>
          <w:p w14:paraId="709DBE5A">
            <w:pPr>
              <w:spacing w:line="276" w:lineRule="auto"/>
              <w:jc w:val="center"/>
              <w:rPr>
                <w:rFonts w:ascii="宋体" w:hAnsi="宋体" w:cs="宋体"/>
                <w:sz w:val="24"/>
              </w:rPr>
            </w:pPr>
            <w:r>
              <w:rPr>
                <w:rFonts w:hint="eastAsia" w:ascii="宋体" w:hAnsi="宋体" w:cs="宋体"/>
                <w:sz w:val="24"/>
              </w:rPr>
              <w:t>25分</w:t>
            </w:r>
          </w:p>
        </w:tc>
      </w:tr>
      <w:tr w14:paraId="36C9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vAlign w:val="center"/>
          </w:tcPr>
          <w:p w14:paraId="5D2423BD">
            <w:pPr>
              <w:spacing w:line="276" w:lineRule="auto"/>
              <w:jc w:val="center"/>
              <w:rPr>
                <w:rFonts w:ascii="宋体" w:hAnsi="宋体" w:cs="宋体"/>
                <w:sz w:val="24"/>
              </w:rPr>
            </w:pPr>
            <w:r>
              <w:rPr>
                <w:rFonts w:hint="eastAsia" w:ascii="宋体" w:hAnsi="宋体" w:cs="宋体"/>
                <w:sz w:val="24"/>
              </w:rPr>
              <w:t>技术及服务部分</w:t>
            </w:r>
          </w:p>
        </w:tc>
        <w:tc>
          <w:tcPr>
            <w:tcW w:w="4773" w:type="dxa"/>
            <w:vAlign w:val="center"/>
          </w:tcPr>
          <w:p w14:paraId="6523B1AC">
            <w:pPr>
              <w:spacing w:line="276" w:lineRule="auto"/>
              <w:jc w:val="center"/>
              <w:rPr>
                <w:rFonts w:ascii="宋体" w:hAnsi="宋体" w:cs="宋体"/>
                <w:sz w:val="24"/>
              </w:rPr>
            </w:pPr>
            <w:r>
              <w:rPr>
                <w:rFonts w:hint="eastAsia" w:ascii="宋体" w:hAnsi="宋体" w:cs="宋体"/>
                <w:sz w:val="24"/>
              </w:rPr>
              <w:t>60分</w:t>
            </w:r>
          </w:p>
        </w:tc>
      </w:tr>
      <w:tr w14:paraId="067D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vAlign w:val="center"/>
          </w:tcPr>
          <w:p w14:paraId="341D3469">
            <w:pPr>
              <w:spacing w:line="276" w:lineRule="auto"/>
              <w:jc w:val="center"/>
              <w:rPr>
                <w:rFonts w:ascii="宋体" w:hAnsi="宋体" w:cs="宋体"/>
                <w:sz w:val="24"/>
              </w:rPr>
            </w:pPr>
            <w:r>
              <w:rPr>
                <w:rFonts w:hint="eastAsia" w:ascii="宋体" w:hAnsi="宋体" w:cs="宋体"/>
                <w:sz w:val="24"/>
              </w:rPr>
              <w:t>合计</w:t>
            </w:r>
          </w:p>
        </w:tc>
        <w:tc>
          <w:tcPr>
            <w:tcW w:w="4773" w:type="dxa"/>
            <w:vAlign w:val="center"/>
          </w:tcPr>
          <w:p w14:paraId="79EEA179">
            <w:pPr>
              <w:spacing w:line="276" w:lineRule="auto"/>
              <w:jc w:val="center"/>
              <w:rPr>
                <w:rFonts w:ascii="宋体" w:hAnsi="宋体" w:cs="宋体"/>
                <w:sz w:val="24"/>
              </w:rPr>
            </w:pPr>
            <w:r>
              <w:rPr>
                <w:rFonts w:hint="eastAsia" w:ascii="宋体" w:hAnsi="宋体" w:cs="宋体"/>
                <w:sz w:val="24"/>
              </w:rPr>
              <w:t>100分</w:t>
            </w:r>
          </w:p>
        </w:tc>
      </w:tr>
    </w:tbl>
    <w:p w14:paraId="766ED4B3">
      <w:pPr>
        <w:adjustRightInd w:val="0"/>
        <w:snapToGrid w:val="0"/>
        <w:spacing w:line="360" w:lineRule="auto"/>
        <w:rPr>
          <w:rFonts w:ascii="宋体" w:hAnsi="宋体"/>
          <w:b/>
          <w:sz w:val="24"/>
          <w:szCs w:val="24"/>
        </w:rPr>
      </w:pPr>
    </w:p>
    <w:p w14:paraId="7CA2C60F">
      <w:pPr>
        <w:adjustRightInd w:val="0"/>
        <w:snapToGrid w:val="0"/>
        <w:spacing w:line="360" w:lineRule="auto"/>
        <w:rPr>
          <w:rFonts w:ascii="宋体" w:hAnsi="宋体"/>
          <w:b/>
          <w:sz w:val="24"/>
          <w:szCs w:val="24"/>
        </w:rPr>
      </w:pPr>
    </w:p>
    <w:p w14:paraId="50FCD056">
      <w:pPr>
        <w:adjustRightInd w:val="0"/>
        <w:snapToGrid w:val="0"/>
        <w:spacing w:line="360" w:lineRule="auto"/>
        <w:rPr>
          <w:rFonts w:ascii="宋体" w:hAnsi="宋体"/>
          <w:b/>
          <w:sz w:val="24"/>
          <w:szCs w:val="24"/>
        </w:rPr>
      </w:pPr>
    </w:p>
    <w:tbl>
      <w:tblPr>
        <w:tblStyle w:val="16"/>
        <w:tblW w:w="87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8"/>
        <w:gridCol w:w="876"/>
        <w:gridCol w:w="1276"/>
        <w:gridCol w:w="709"/>
        <w:gridCol w:w="5405"/>
      </w:tblGrid>
      <w:tr w14:paraId="41BFC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373291D4">
            <w:pPr>
              <w:snapToGrid w:val="0"/>
              <w:jc w:val="center"/>
              <w:rPr>
                <w:rFonts w:ascii="宋体" w:hAnsi="宋体" w:cs="宋体"/>
                <w:sz w:val="24"/>
                <w:szCs w:val="24"/>
              </w:rPr>
            </w:pPr>
            <w:r>
              <w:rPr>
                <w:rFonts w:hint="eastAsia" w:ascii="宋体" w:hAnsi="宋体" w:cs="宋体"/>
                <w:bCs/>
                <w:sz w:val="24"/>
                <w:szCs w:val="24"/>
              </w:rPr>
              <w:t>序号</w:t>
            </w:r>
          </w:p>
        </w:tc>
        <w:tc>
          <w:tcPr>
            <w:tcW w:w="876" w:type="dxa"/>
            <w:vAlign w:val="center"/>
          </w:tcPr>
          <w:p w14:paraId="4EF9C343">
            <w:pPr>
              <w:snapToGrid w:val="0"/>
              <w:jc w:val="center"/>
              <w:rPr>
                <w:rFonts w:ascii="宋体" w:hAnsi="宋体" w:cs="宋体"/>
                <w:sz w:val="24"/>
                <w:szCs w:val="24"/>
              </w:rPr>
            </w:pPr>
            <w:r>
              <w:rPr>
                <w:rFonts w:hint="eastAsia" w:ascii="宋体" w:hAnsi="宋体" w:cs="宋体"/>
                <w:bCs/>
                <w:sz w:val="24"/>
                <w:szCs w:val="24"/>
              </w:rPr>
              <w:t>评审条款及分值</w:t>
            </w:r>
          </w:p>
        </w:tc>
        <w:tc>
          <w:tcPr>
            <w:tcW w:w="1276" w:type="dxa"/>
            <w:vAlign w:val="center"/>
          </w:tcPr>
          <w:p w14:paraId="7AD9C1C1">
            <w:pPr>
              <w:snapToGrid w:val="0"/>
              <w:jc w:val="center"/>
              <w:rPr>
                <w:rFonts w:ascii="宋体" w:hAnsi="宋体" w:cs="宋体"/>
                <w:bCs/>
                <w:sz w:val="24"/>
                <w:szCs w:val="24"/>
              </w:rPr>
            </w:pPr>
            <w:r>
              <w:rPr>
                <w:rFonts w:hint="eastAsia" w:ascii="宋体" w:hAnsi="宋体" w:cs="宋体"/>
                <w:bCs/>
                <w:sz w:val="24"/>
                <w:szCs w:val="24"/>
              </w:rPr>
              <w:t>评审</w:t>
            </w:r>
          </w:p>
          <w:p w14:paraId="246861F9">
            <w:pPr>
              <w:snapToGrid w:val="0"/>
              <w:jc w:val="center"/>
              <w:rPr>
                <w:rFonts w:ascii="宋体" w:hAnsi="宋体" w:cs="宋体"/>
                <w:sz w:val="24"/>
                <w:szCs w:val="24"/>
              </w:rPr>
            </w:pPr>
            <w:r>
              <w:rPr>
                <w:rFonts w:hint="eastAsia" w:ascii="宋体" w:hAnsi="宋体" w:cs="宋体"/>
                <w:bCs/>
                <w:sz w:val="24"/>
                <w:szCs w:val="24"/>
              </w:rPr>
              <w:t>细节</w:t>
            </w:r>
          </w:p>
        </w:tc>
        <w:tc>
          <w:tcPr>
            <w:tcW w:w="709" w:type="dxa"/>
            <w:vAlign w:val="center"/>
          </w:tcPr>
          <w:p w14:paraId="7D182663">
            <w:pPr>
              <w:snapToGrid w:val="0"/>
              <w:jc w:val="center"/>
              <w:rPr>
                <w:rFonts w:ascii="宋体" w:hAnsi="宋体" w:cs="宋体"/>
                <w:sz w:val="24"/>
                <w:szCs w:val="24"/>
              </w:rPr>
            </w:pPr>
            <w:r>
              <w:rPr>
                <w:rFonts w:hint="eastAsia" w:ascii="宋体" w:hAnsi="宋体" w:cs="宋体"/>
                <w:bCs/>
                <w:sz w:val="24"/>
                <w:szCs w:val="24"/>
              </w:rPr>
              <w:t>分值</w:t>
            </w:r>
          </w:p>
        </w:tc>
        <w:tc>
          <w:tcPr>
            <w:tcW w:w="5405" w:type="dxa"/>
            <w:vAlign w:val="center"/>
          </w:tcPr>
          <w:p w14:paraId="3FF42141">
            <w:pPr>
              <w:snapToGrid w:val="0"/>
              <w:jc w:val="center"/>
              <w:rPr>
                <w:rFonts w:ascii="宋体" w:hAnsi="宋体" w:cs="宋体"/>
                <w:sz w:val="24"/>
                <w:szCs w:val="24"/>
              </w:rPr>
            </w:pPr>
            <w:r>
              <w:rPr>
                <w:rFonts w:hint="eastAsia" w:ascii="宋体" w:hAnsi="宋体" w:cs="宋体"/>
                <w:bCs/>
                <w:sz w:val="24"/>
                <w:szCs w:val="24"/>
              </w:rPr>
              <w:t>备注</w:t>
            </w:r>
          </w:p>
        </w:tc>
      </w:tr>
      <w:tr w14:paraId="6CED0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69BBA5C9">
            <w:pPr>
              <w:snapToGrid w:val="0"/>
              <w:jc w:val="center"/>
              <w:rPr>
                <w:rFonts w:ascii="宋体" w:hAnsi="宋体" w:cs="宋体"/>
                <w:sz w:val="24"/>
                <w:szCs w:val="24"/>
              </w:rPr>
            </w:pPr>
            <w:r>
              <w:rPr>
                <w:rFonts w:hint="eastAsia" w:ascii="宋体" w:hAnsi="宋体" w:cs="宋体"/>
                <w:sz w:val="24"/>
                <w:szCs w:val="24"/>
              </w:rPr>
              <w:t>1</w:t>
            </w:r>
          </w:p>
          <w:p w14:paraId="2CBE9380">
            <w:pPr>
              <w:snapToGrid w:val="0"/>
              <w:jc w:val="center"/>
              <w:rPr>
                <w:rFonts w:ascii="宋体" w:hAnsi="宋体" w:cs="宋体"/>
                <w:sz w:val="24"/>
                <w:szCs w:val="24"/>
              </w:rPr>
            </w:pPr>
          </w:p>
        </w:tc>
        <w:tc>
          <w:tcPr>
            <w:tcW w:w="876" w:type="dxa"/>
            <w:vAlign w:val="center"/>
          </w:tcPr>
          <w:p w14:paraId="0C8EC0E6">
            <w:pPr>
              <w:snapToGrid w:val="0"/>
              <w:jc w:val="center"/>
              <w:rPr>
                <w:rFonts w:ascii="宋体" w:hAnsi="宋体" w:cs="宋体"/>
                <w:bCs/>
                <w:sz w:val="24"/>
                <w:szCs w:val="24"/>
              </w:rPr>
            </w:pPr>
            <w:r>
              <w:rPr>
                <w:rFonts w:hint="eastAsia" w:ascii="宋体" w:hAnsi="宋体" w:cs="宋体"/>
                <w:bCs/>
                <w:sz w:val="24"/>
                <w:szCs w:val="24"/>
              </w:rPr>
              <w:t>价格</w:t>
            </w:r>
          </w:p>
          <w:p w14:paraId="6EA71A58">
            <w:pPr>
              <w:snapToGrid w:val="0"/>
              <w:jc w:val="center"/>
              <w:rPr>
                <w:rFonts w:ascii="宋体" w:hAnsi="宋体" w:cs="宋体"/>
                <w:bCs/>
                <w:sz w:val="24"/>
                <w:szCs w:val="24"/>
              </w:rPr>
            </w:pPr>
            <w:r>
              <w:rPr>
                <w:rFonts w:hint="eastAsia" w:ascii="宋体" w:hAnsi="宋体" w:cs="宋体"/>
                <w:bCs/>
                <w:sz w:val="24"/>
                <w:szCs w:val="24"/>
              </w:rPr>
              <w:t>部分（</w:t>
            </w:r>
            <w:r>
              <w:rPr>
                <w:rFonts w:hint="eastAsia" w:ascii="宋体" w:hAnsi="宋体" w:cs="宋体"/>
                <w:sz w:val="24"/>
                <w:szCs w:val="24"/>
              </w:rPr>
              <w:t>1</w:t>
            </w:r>
            <w:r>
              <w:rPr>
                <w:rFonts w:ascii="宋体" w:hAnsi="宋体" w:cs="宋体"/>
                <w:sz w:val="24"/>
                <w:szCs w:val="24"/>
              </w:rPr>
              <w:t>5</w:t>
            </w:r>
            <w:r>
              <w:rPr>
                <w:rFonts w:hint="eastAsia" w:ascii="宋体" w:hAnsi="宋体" w:cs="宋体"/>
                <w:sz w:val="24"/>
                <w:szCs w:val="24"/>
              </w:rPr>
              <w:t>）</w:t>
            </w:r>
          </w:p>
        </w:tc>
        <w:tc>
          <w:tcPr>
            <w:tcW w:w="1276" w:type="dxa"/>
            <w:vAlign w:val="center"/>
          </w:tcPr>
          <w:p w14:paraId="65D84BF4">
            <w:pPr>
              <w:snapToGrid w:val="0"/>
              <w:jc w:val="center"/>
              <w:rPr>
                <w:rFonts w:ascii="宋体" w:hAnsi="宋体" w:cs="宋体"/>
                <w:sz w:val="24"/>
                <w:szCs w:val="24"/>
              </w:rPr>
            </w:pPr>
            <w:r>
              <w:rPr>
                <w:rFonts w:hint="eastAsia" w:ascii="宋体" w:hAnsi="宋体" w:cs="宋体"/>
                <w:sz w:val="24"/>
                <w:szCs w:val="24"/>
              </w:rPr>
              <w:t>招标代理服务费</w:t>
            </w:r>
          </w:p>
          <w:p w14:paraId="55248D47">
            <w:pPr>
              <w:adjustRightInd w:val="0"/>
              <w:snapToGrid w:val="0"/>
              <w:jc w:val="center"/>
              <w:rPr>
                <w:rFonts w:ascii="宋体" w:hAnsi="宋体" w:cs="宋体"/>
                <w:sz w:val="24"/>
                <w:szCs w:val="24"/>
              </w:rPr>
            </w:pPr>
            <w:r>
              <w:rPr>
                <w:rFonts w:hint="eastAsia" w:ascii="宋体" w:hAnsi="宋体" w:cs="宋体"/>
                <w:sz w:val="24"/>
                <w:szCs w:val="24"/>
              </w:rPr>
              <w:t>下浮幅度报价</w:t>
            </w:r>
          </w:p>
        </w:tc>
        <w:tc>
          <w:tcPr>
            <w:tcW w:w="709" w:type="dxa"/>
            <w:vAlign w:val="center"/>
          </w:tcPr>
          <w:p w14:paraId="3D465717">
            <w:pPr>
              <w:snapToGrid w:val="0"/>
              <w:jc w:val="center"/>
              <w:rPr>
                <w:rFonts w:ascii="宋体" w:hAnsi="宋体" w:cs="宋体"/>
                <w:sz w:val="24"/>
                <w:szCs w:val="24"/>
              </w:rPr>
            </w:pPr>
            <w:bookmarkStart w:id="52" w:name="_GoBack"/>
            <w:r>
              <w:rPr>
                <w:rFonts w:ascii="宋体" w:hAnsi="宋体" w:cs="宋体"/>
                <w:sz w:val="24"/>
                <w:szCs w:val="24"/>
                <w:highlight w:val="none"/>
              </w:rPr>
              <w:t>15</w:t>
            </w:r>
            <w:bookmarkEnd w:id="52"/>
          </w:p>
        </w:tc>
        <w:tc>
          <w:tcPr>
            <w:tcW w:w="5405" w:type="dxa"/>
            <w:vAlign w:val="center"/>
          </w:tcPr>
          <w:p w14:paraId="2FE68066">
            <w:pPr>
              <w:pStyle w:val="34"/>
              <w:spacing w:before="2"/>
              <w:ind w:right="139" w:rightChars="66"/>
              <w:rPr>
                <w:rFonts w:ascii="宋体" w:hAnsi="宋体" w:eastAsia="宋体"/>
                <w:sz w:val="24"/>
                <w:szCs w:val="24"/>
              </w:rPr>
            </w:pPr>
            <w:r>
              <w:rPr>
                <w:rFonts w:ascii="宋体" w:hAnsi="宋体" w:eastAsia="宋体"/>
                <w:sz w:val="24"/>
                <w:szCs w:val="24"/>
              </w:rPr>
              <w:t>评标基准</w:t>
            </w:r>
            <w:r>
              <w:rPr>
                <w:rFonts w:hint="eastAsia" w:ascii="宋体" w:hAnsi="宋体" w:eastAsia="宋体"/>
                <w:sz w:val="24"/>
                <w:szCs w:val="24"/>
              </w:rPr>
              <w:t>浮动比例</w:t>
            </w:r>
            <w:r>
              <w:rPr>
                <w:rFonts w:ascii="宋体" w:hAnsi="宋体" w:eastAsia="宋体"/>
                <w:sz w:val="24"/>
                <w:szCs w:val="24"/>
              </w:rPr>
              <w:t>=满足招标文件实质要求且</w:t>
            </w:r>
            <w:r>
              <w:rPr>
                <w:rFonts w:hint="eastAsia" w:ascii="宋体" w:hAnsi="宋体" w:eastAsia="宋体"/>
                <w:sz w:val="24"/>
                <w:szCs w:val="24"/>
              </w:rPr>
              <w:t>下浮幅度</w:t>
            </w:r>
            <w:r>
              <w:rPr>
                <w:rFonts w:ascii="宋体" w:hAnsi="宋体" w:eastAsia="宋体"/>
                <w:sz w:val="24"/>
                <w:szCs w:val="24"/>
              </w:rPr>
              <w:t>最</w:t>
            </w:r>
            <w:r>
              <w:rPr>
                <w:rFonts w:hint="eastAsia" w:ascii="宋体" w:hAnsi="宋体" w:eastAsia="宋体"/>
                <w:sz w:val="24"/>
                <w:szCs w:val="24"/>
              </w:rPr>
              <w:t>大</w:t>
            </w:r>
            <w:r>
              <w:rPr>
                <w:rFonts w:ascii="宋体" w:hAnsi="宋体" w:eastAsia="宋体"/>
                <w:sz w:val="24"/>
                <w:szCs w:val="24"/>
              </w:rPr>
              <w:t>的</w:t>
            </w:r>
            <w:r>
              <w:rPr>
                <w:rFonts w:hint="eastAsia" w:ascii="宋体" w:hAnsi="宋体" w:eastAsia="宋体"/>
                <w:sz w:val="24"/>
                <w:szCs w:val="24"/>
              </w:rPr>
              <w:t>浮动比例。其价格分为满分15分。</w:t>
            </w:r>
          </w:p>
          <w:p w14:paraId="697A630E">
            <w:pPr>
              <w:pStyle w:val="34"/>
              <w:spacing w:before="2"/>
              <w:ind w:right="139" w:rightChars="66"/>
              <w:rPr>
                <w:rFonts w:ascii="宋体" w:hAnsi="宋体" w:eastAsia="宋体"/>
                <w:sz w:val="24"/>
                <w:szCs w:val="24"/>
              </w:rPr>
            </w:pPr>
            <w:r>
              <w:rPr>
                <w:rFonts w:ascii="宋体" w:hAnsi="宋体" w:eastAsia="宋体"/>
                <w:sz w:val="24"/>
                <w:szCs w:val="24"/>
              </w:rPr>
              <w:t>合格</w:t>
            </w:r>
            <w:r>
              <w:rPr>
                <w:rFonts w:hint="eastAsia" w:ascii="宋体" w:hAnsi="宋体" w:eastAsia="宋体"/>
                <w:sz w:val="24"/>
                <w:szCs w:val="24"/>
              </w:rPr>
              <w:t>申请人</w:t>
            </w:r>
            <w:r>
              <w:rPr>
                <w:rFonts w:ascii="宋体" w:hAnsi="宋体" w:eastAsia="宋体"/>
                <w:sz w:val="24"/>
                <w:szCs w:val="24"/>
              </w:rPr>
              <w:t>的有效价格得分=[（1+</w:t>
            </w:r>
            <w:r>
              <w:rPr>
                <w:rFonts w:hint="eastAsia" w:ascii="宋体" w:hAnsi="宋体" w:eastAsia="宋体"/>
                <w:sz w:val="24"/>
                <w:szCs w:val="24"/>
              </w:rPr>
              <w:t>浮动比例</w:t>
            </w:r>
            <w:r>
              <w:rPr>
                <w:rFonts w:ascii="宋体" w:hAnsi="宋体" w:eastAsia="宋体"/>
                <w:sz w:val="24"/>
                <w:szCs w:val="24"/>
              </w:rPr>
              <w:t>）/(1+评标基准</w:t>
            </w:r>
            <w:r>
              <w:rPr>
                <w:rFonts w:hint="eastAsia" w:ascii="宋体" w:hAnsi="宋体" w:eastAsia="宋体"/>
                <w:sz w:val="24"/>
                <w:szCs w:val="24"/>
              </w:rPr>
              <w:t>浮动比例</w:t>
            </w:r>
            <w:r>
              <w:rPr>
                <w:rFonts w:ascii="宋体" w:hAnsi="宋体" w:eastAsia="宋体"/>
                <w:sz w:val="24"/>
                <w:szCs w:val="24"/>
              </w:rPr>
              <w:t>)</w:t>
            </w:r>
            <w:r>
              <w:rPr>
                <w:rFonts w:hint="eastAsia" w:ascii="Times New Roman" w:hAnsi="Times New Roman" w:eastAsia="宋体" w:cs="Times New Roman"/>
                <w:sz w:val="24"/>
                <w:szCs w:val="24"/>
              </w:rPr>
              <w:t xml:space="preserve"> </w:t>
            </w:r>
            <w:r>
              <w:rPr>
                <w:rFonts w:ascii="宋体" w:hAnsi="宋体" w:eastAsia="宋体"/>
                <w:sz w:val="24"/>
                <w:szCs w:val="24"/>
              </w:rPr>
              <w:t>]×</w:t>
            </w:r>
            <w:r>
              <w:rPr>
                <w:rFonts w:hint="eastAsia" w:ascii="宋体" w:hAnsi="宋体" w:eastAsia="宋体"/>
                <w:sz w:val="24"/>
                <w:szCs w:val="24"/>
                <w:lang w:val="en-US"/>
              </w:rPr>
              <w:t>1</w:t>
            </w:r>
            <w:r>
              <w:rPr>
                <w:rFonts w:ascii="宋体" w:hAnsi="宋体" w:eastAsia="宋体"/>
                <w:sz w:val="24"/>
                <w:szCs w:val="24"/>
              </w:rPr>
              <w:t>5</w:t>
            </w:r>
            <w:r>
              <w:rPr>
                <w:rFonts w:hint="eastAsia" w:ascii="宋体" w:hAnsi="宋体" w:eastAsia="宋体"/>
                <w:sz w:val="24"/>
                <w:szCs w:val="24"/>
              </w:rPr>
              <w:t>，</w:t>
            </w:r>
          </w:p>
          <w:p w14:paraId="14764B25">
            <w:pPr>
              <w:snapToGrid w:val="0"/>
              <w:rPr>
                <w:rFonts w:ascii="宋体" w:hAnsi="宋体" w:cs="宋体"/>
                <w:sz w:val="24"/>
                <w:szCs w:val="24"/>
              </w:rPr>
            </w:pPr>
            <w:r>
              <w:rPr>
                <w:rFonts w:hint="eastAsia" w:ascii="宋体" w:hAnsi="宋体"/>
                <w:sz w:val="24"/>
                <w:szCs w:val="24"/>
              </w:rPr>
              <w:t>注：价格分值保留到小数点后2位。</w:t>
            </w:r>
          </w:p>
        </w:tc>
      </w:tr>
      <w:tr w14:paraId="3C2FB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8" w:type="dxa"/>
            <w:vMerge w:val="restart"/>
            <w:vAlign w:val="center"/>
          </w:tcPr>
          <w:p w14:paraId="2A13AAC1">
            <w:pPr>
              <w:snapToGrid w:val="0"/>
              <w:jc w:val="center"/>
              <w:rPr>
                <w:rFonts w:ascii="宋体" w:hAnsi="宋体" w:cs="宋体"/>
                <w:sz w:val="24"/>
                <w:szCs w:val="24"/>
              </w:rPr>
            </w:pPr>
            <w:r>
              <w:rPr>
                <w:rFonts w:hint="eastAsia" w:ascii="宋体" w:hAnsi="宋体" w:cs="宋体"/>
                <w:sz w:val="24"/>
                <w:szCs w:val="24"/>
              </w:rPr>
              <w:t>2</w:t>
            </w:r>
          </w:p>
        </w:tc>
        <w:tc>
          <w:tcPr>
            <w:tcW w:w="876" w:type="dxa"/>
            <w:vMerge w:val="restart"/>
            <w:vAlign w:val="center"/>
          </w:tcPr>
          <w:p w14:paraId="135B83D6">
            <w:pPr>
              <w:snapToGrid w:val="0"/>
              <w:jc w:val="center"/>
              <w:rPr>
                <w:rFonts w:ascii="宋体" w:hAnsi="宋体" w:cs="宋体"/>
                <w:bCs/>
                <w:sz w:val="24"/>
                <w:szCs w:val="24"/>
              </w:rPr>
            </w:pPr>
            <w:r>
              <w:rPr>
                <w:rFonts w:hint="eastAsia" w:ascii="宋体" w:hAnsi="宋体" w:cs="宋体"/>
                <w:bCs/>
                <w:sz w:val="24"/>
                <w:szCs w:val="24"/>
              </w:rPr>
              <w:t>商务</w:t>
            </w:r>
          </w:p>
          <w:p w14:paraId="1C537FDC">
            <w:pPr>
              <w:snapToGrid w:val="0"/>
              <w:jc w:val="center"/>
              <w:rPr>
                <w:rFonts w:ascii="宋体" w:hAnsi="宋体" w:cs="宋体"/>
                <w:sz w:val="24"/>
                <w:szCs w:val="24"/>
              </w:rPr>
            </w:pPr>
            <w:r>
              <w:rPr>
                <w:rFonts w:hint="eastAsia" w:ascii="宋体" w:hAnsi="宋体" w:cs="宋体"/>
                <w:bCs/>
                <w:sz w:val="24"/>
                <w:szCs w:val="24"/>
              </w:rPr>
              <w:t>部分（25</w:t>
            </w:r>
            <w:r>
              <w:rPr>
                <w:rFonts w:hint="eastAsia" w:ascii="宋体" w:hAnsi="宋体" w:cs="宋体"/>
                <w:sz w:val="24"/>
                <w:szCs w:val="24"/>
              </w:rPr>
              <w:t>）</w:t>
            </w:r>
          </w:p>
        </w:tc>
        <w:tc>
          <w:tcPr>
            <w:tcW w:w="1276" w:type="dxa"/>
            <w:vAlign w:val="center"/>
          </w:tcPr>
          <w:p w14:paraId="0247DBD6">
            <w:pPr>
              <w:snapToGrid w:val="0"/>
              <w:jc w:val="center"/>
              <w:rPr>
                <w:rFonts w:ascii="宋体" w:hAnsi="宋体" w:cs="宋体"/>
                <w:sz w:val="24"/>
                <w:szCs w:val="24"/>
              </w:rPr>
            </w:pPr>
            <w:r>
              <w:rPr>
                <w:rFonts w:hint="eastAsia" w:ascii="宋体" w:hAnsi="宋体" w:cs="宋体"/>
                <w:sz w:val="24"/>
                <w:szCs w:val="24"/>
              </w:rPr>
              <w:t>申请人类似业绩</w:t>
            </w:r>
          </w:p>
        </w:tc>
        <w:tc>
          <w:tcPr>
            <w:tcW w:w="709" w:type="dxa"/>
            <w:vAlign w:val="center"/>
          </w:tcPr>
          <w:p w14:paraId="58BC47E4">
            <w:pPr>
              <w:snapToGrid w:val="0"/>
              <w:jc w:val="center"/>
              <w:rPr>
                <w:rFonts w:ascii="宋体" w:hAnsi="宋体" w:cs="宋体"/>
                <w:sz w:val="24"/>
                <w:szCs w:val="24"/>
              </w:rPr>
            </w:pPr>
            <w:r>
              <w:rPr>
                <w:rFonts w:ascii="宋体" w:hAnsi="宋体" w:cs="宋体"/>
                <w:sz w:val="24"/>
                <w:szCs w:val="24"/>
              </w:rPr>
              <w:t>15</w:t>
            </w:r>
          </w:p>
        </w:tc>
        <w:tc>
          <w:tcPr>
            <w:tcW w:w="5405" w:type="dxa"/>
            <w:vAlign w:val="center"/>
          </w:tcPr>
          <w:p w14:paraId="3707215F">
            <w:pPr>
              <w:snapToGrid w:val="0"/>
              <w:rPr>
                <w:rFonts w:ascii="宋体" w:hAnsi="宋体" w:cs="宋体"/>
                <w:sz w:val="24"/>
                <w:szCs w:val="24"/>
              </w:rPr>
            </w:pPr>
            <w:r>
              <w:rPr>
                <w:rFonts w:hint="eastAsia" w:ascii="宋体" w:hAnsi="宋体" w:cs="宋体"/>
                <w:sz w:val="24"/>
                <w:szCs w:val="24"/>
              </w:rPr>
              <w:t>申请人提供</w:t>
            </w:r>
            <w:r>
              <w:rPr>
                <w:rFonts w:hint="eastAsia" w:ascii="宋体" w:hAnsi="宋体"/>
                <w:sz w:val="24"/>
                <w:szCs w:val="24"/>
              </w:rPr>
              <w:t>近三年内代理三甲医院个数</w:t>
            </w:r>
            <w:r>
              <w:rPr>
                <w:rFonts w:hint="eastAsia" w:ascii="宋体" w:hAnsi="宋体" w:cs="宋体"/>
                <w:bCs/>
                <w:sz w:val="24"/>
                <w:szCs w:val="24"/>
              </w:rPr>
              <w:t>，每有一家委属管医院得2分，其余三甲医院得1.5分，</w:t>
            </w:r>
            <w:r>
              <w:rPr>
                <w:rFonts w:hint="eastAsia" w:ascii="宋体" w:hAnsi="宋体" w:cs="宋体"/>
                <w:sz w:val="24"/>
                <w:szCs w:val="24"/>
              </w:rPr>
              <w:t>最高得</w:t>
            </w:r>
            <w:r>
              <w:rPr>
                <w:rFonts w:ascii="宋体" w:hAnsi="宋体" w:cs="宋体"/>
                <w:sz w:val="24"/>
                <w:szCs w:val="24"/>
              </w:rPr>
              <w:t>1</w:t>
            </w:r>
            <w:r>
              <w:rPr>
                <w:rFonts w:hint="eastAsia" w:ascii="宋体" w:hAnsi="宋体" w:cs="宋体"/>
                <w:sz w:val="24"/>
                <w:szCs w:val="24"/>
              </w:rPr>
              <w:t>5分。</w:t>
            </w:r>
          </w:p>
          <w:p w14:paraId="6C278577">
            <w:pPr>
              <w:snapToGrid w:val="0"/>
              <w:rPr>
                <w:rFonts w:ascii="宋体" w:hAnsi="宋体" w:cs="宋体"/>
                <w:sz w:val="24"/>
                <w:szCs w:val="24"/>
              </w:rPr>
            </w:pPr>
            <w:r>
              <w:rPr>
                <w:rFonts w:hint="eastAsia" w:ascii="宋体" w:hAnsi="宋体" w:cs="宋体"/>
                <w:sz w:val="24"/>
                <w:szCs w:val="24"/>
              </w:rPr>
              <w:t>注：</w:t>
            </w:r>
          </w:p>
          <w:p w14:paraId="49671FD8">
            <w:pPr>
              <w:numPr>
                <w:ilvl w:val="0"/>
                <w:numId w:val="4"/>
              </w:numPr>
              <w:snapToGrid w:val="0"/>
              <w:rPr>
                <w:rFonts w:ascii="宋体" w:hAnsi="宋体" w:cs="宋体"/>
                <w:bCs/>
                <w:sz w:val="24"/>
                <w:szCs w:val="24"/>
              </w:rPr>
            </w:pPr>
            <w:r>
              <w:rPr>
                <w:rFonts w:hint="eastAsia" w:ascii="宋体" w:hAnsi="宋体" w:cs="宋体"/>
                <w:bCs/>
                <w:sz w:val="24"/>
                <w:szCs w:val="24"/>
              </w:rPr>
              <w:t>申请人须提供业绩证明材料，包括用户签订的合同首页、标的页，相关内容页及签字盖章页。未按要求提供完整材料的，不得分。</w:t>
            </w:r>
          </w:p>
          <w:p w14:paraId="50278C29">
            <w:pPr>
              <w:numPr>
                <w:ilvl w:val="0"/>
                <w:numId w:val="4"/>
              </w:numPr>
              <w:snapToGrid w:val="0"/>
              <w:rPr>
                <w:rFonts w:ascii="宋体" w:hAnsi="宋体" w:cs="宋体"/>
                <w:sz w:val="24"/>
                <w:szCs w:val="24"/>
              </w:rPr>
            </w:pPr>
            <w:r>
              <w:rPr>
                <w:rFonts w:hint="eastAsia" w:ascii="宋体" w:hAnsi="宋体" w:cs="宋体"/>
                <w:bCs/>
                <w:sz w:val="24"/>
                <w:szCs w:val="24"/>
              </w:rPr>
              <w:t>三年内，申请人代理每家三甲医院公开招标项目数量总共要求超过20项，未满足条件不计分。</w:t>
            </w:r>
            <w:r>
              <w:rPr>
                <w:rFonts w:hint="eastAsia" w:ascii="宋体" w:hAnsi="宋体" w:cs="宋体"/>
                <w:sz w:val="24"/>
                <w:szCs w:val="24"/>
              </w:rPr>
              <w:t>一个单位分年度多次签订的案例仅计入</w:t>
            </w:r>
            <w:r>
              <w:rPr>
                <w:rFonts w:ascii="宋体" w:hAnsi="宋体" w:cs="宋体"/>
                <w:sz w:val="24"/>
                <w:szCs w:val="24"/>
              </w:rPr>
              <w:t>1个案例</w:t>
            </w:r>
            <w:r>
              <w:rPr>
                <w:rFonts w:hint="eastAsia" w:ascii="宋体" w:hAnsi="宋体" w:cs="宋体"/>
                <w:sz w:val="24"/>
                <w:szCs w:val="24"/>
              </w:rPr>
              <w:t>。</w:t>
            </w:r>
          </w:p>
        </w:tc>
      </w:tr>
      <w:tr w14:paraId="0F387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8" w:hRule="atLeast"/>
          <w:jc w:val="center"/>
        </w:trPr>
        <w:tc>
          <w:tcPr>
            <w:tcW w:w="508" w:type="dxa"/>
            <w:vMerge w:val="continue"/>
            <w:vAlign w:val="center"/>
          </w:tcPr>
          <w:p w14:paraId="13E45DB0">
            <w:pPr>
              <w:snapToGrid w:val="0"/>
              <w:jc w:val="center"/>
              <w:rPr>
                <w:rFonts w:ascii="宋体" w:hAnsi="宋体" w:cs="宋体"/>
                <w:sz w:val="24"/>
                <w:szCs w:val="24"/>
              </w:rPr>
            </w:pPr>
          </w:p>
        </w:tc>
        <w:tc>
          <w:tcPr>
            <w:tcW w:w="876" w:type="dxa"/>
            <w:vMerge w:val="continue"/>
            <w:vAlign w:val="center"/>
          </w:tcPr>
          <w:p w14:paraId="69442C9E">
            <w:pPr>
              <w:snapToGrid w:val="0"/>
              <w:jc w:val="center"/>
              <w:rPr>
                <w:rFonts w:ascii="宋体" w:hAnsi="宋体" w:cs="宋体"/>
                <w:bCs/>
                <w:sz w:val="24"/>
                <w:szCs w:val="24"/>
              </w:rPr>
            </w:pPr>
          </w:p>
        </w:tc>
        <w:tc>
          <w:tcPr>
            <w:tcW w:w="1276" w:type="dxa"/>
            <w:vAlign w:val="center"/>
          </w:tcPr>
          <w:p w14:paraId="295360EA">
            <w:pPr>
              <w:jc w:val="center"/>
              <w:rPr>
                <w:rFonts w:ascii="宋体" w:hAnsi="宋体" w:cs="宋体"/>
                <w:bCs/>
                <w:sz w:val="24"/>
                <w:szCs w:val="24"/>
              </w:rPr>
            </w:pPr>
            <w:r>
              <w:rPr>
                <w:rFonts w:hint="eastAsia" w:ascii="宋体" w:hAnsi="宋体" w:cs="宋体"/>
                <w:sz w:val="24"/>
                <w:szCs w:val="24"/>
              </w:rPr>
              <w:t>公司资质</w:t>
            </w:r>
          </w:p>
        </w:tc>
        <w:tc>
          <w:tcPr>
            <w:tcW w:w="709" w:type="dxa"/>
            <w:vAlign w:val="center"/>
          </w:tcPr>
          <w:p w14:paraId="350F5D3E">
            <w:pPr>
              <w:snapToGrid w:val="0"/>
              <w:jc w:val="center"/>
              <w:rPr>
                <w:rFonts w:ascii="宋体" w:hAnsi="宋体" w:cs="宋体"/>
                <w:sz w:val="24"/>
                <w:szCs w:val="24"/>
              </w:rPr>
            </w:pPr>
            <w:r>
              <w:rPr>
                <w:rFonts w:ascii="宋体" w:hAnsi="宋体" w:cs="宋体"/>
                <w:sz w:val="24"/>
                <w:szCs w:val="24"/>
              </w:rPr>
              <w:t>10</w:t>
            </w:r>
          </w:p>
        </w:tc>
        <w:tc>
          <w:tcPr>
            <w:tcW w:w="5405" w:type="dxa"/>
            <w:vAlign w:val="center"/>
          </w:tcPr>
          <w:p w14:paraId="353474BE">
            <w:pPr>
              <w:tabs>
                <w:tab w:val="left" w:pos="1134"/>
              </w:tabs>
              <w:snapToGrid w:val="0"/>
              <w:spacing w:line="320" w:lineRule="exact"/>
              <w:rPr>
                <w:rFonts w:ascii="宋体" w:hAnsi="宋体"/>
                <w:sz w:val="24"/>
                <w:szCs w:val="24"/>
              </w:rPr>
            </w:pPr>
            <w:r>
              <w:rPr>
                <w:rFonts w:hint="eastAsia" w:ascii="宋体" w:hAnsi="宋体"/>
                <w:kern w:val="0"/>
                <w:sz w:val="24"/>
              </w:rPr>
              <w:t>（1）具有</w:t>
            </w:r>
            <w:r>
              <w:rPr>
                <w:kern w:val="0"/>
                <w:sz w:val="24"/>
              </w:rPr>
              <w:t>ISO9001</w:t>
            </w:r>
            <w:r>
              <w:rPr>
                <w:rFonts w:hint="eastAsia" w:ascii="宋体" w:hAnsi="宋体"/>
                <w:kern w:val="0"/>
                <w:sz w:val="24"/>
              </w:rPr>
              <w:t>质量管理体系认证；</w:t>
            </w:r>
          </w:p>
          <w:p w14:paraId="4CF8DD3E">
            <w:pPr>
              <w:tabs>
                <w:tab w:val="left" w:pos="1134"/>
              </w:tabs>
              <w:snapToGrid w:val="0"/>
              <w:spacing w:line="320" w:lineRule="exact"/>
              <w:rPr>
                <w:rFonts w:ascii="宋体" w:hAnsi="宋体"/>
                <w:sz w:val="24"/>
                <w:szCs w:val="24"/>
              </w:rPr>
            </w:pPr>
            <w:r>
              <w:rPr>
                <w:rFonts w:hint="eastAsia" w:ascii="宋体" w:hAnsi="宋体"/>
                <w:kern w:val="0"/>
                <w:sz w:val="24"/>
              </w:rPr>
              <w:t>（2）具有</w:t>
            </w:r>
            <w:r>
              <w:rPr>
                <w:rFonts w:hint="eastAsia" w:ascii="宋体" w:hAnsi="宋体" w:cs="宋体"/>
                <w:kern w:val="0"/>
                <w:sz w:val="24"/>
              </w:rPr>
              <w:t>履行合同所必需的设备和专业技术能力</w:t>
            </w:r>
            <w:r>
              <w:rPr>
                <w:rFonts w:hint="eastAsia" w:ascii="宋体" w:hAnsi="宋体"/>
                <w:kern w:val="0"/>
                <w:sz w:val="24"/>
              </w:rPr>
              <w:t>；</w:t>
            </w:r>
          </w:p>
          <w:p w14:paraId="4BA0CA6E">
            <w:pPr>
              <w:tabs>
                <w:tab w:val="left" w:pos="1134"/>
              </w:tabs>
              <w:snapToGrid w:val="0"/>
              <w:spacing w:line="320" w:lineRule="exact"/>
              <w:rPr>
                <w:rFonts w:ascii="宋体" w:hAnsi="宋体"/>
                <w:sz w:val="24"/>
                <w:szCs w:val="24"/>
              </w:rPr>
            </w:pPr>
            <w:r>
              <w:rPr>
                <w:rFonts w:hint="eastAsia" w:ascii="宋体" w:hAnsi="宋体"/>
                <w:kern w:val="0"/>
                <w:sz w:val="24"/>
              </w:rPr>
              <w:t>（3）具有好的商业信誉和健全的财务会计制度的证明文件；</w:t>
            </w:r>
          </w:p>
          <w:p w14:paraId="3A76C5E7">
            <w:pPr>
              <w:tabs>
                <w:tab w:val="left" w:pos="1134"/>
              </w:tabs>
              <w:snapToGrid w:val="0"/>
              <w:spacing w:line="320" w:lineRule="exact"/>
              <w:rPr>
                <w:rFonts w:ascii="宋体" w:hAnsi="宋体"/>
                <w:kern w:val="0"/>
                <w:sz w:val="24"/>
              </w:rPr>
            </w:pPr>
            <w:r>
              <w:rPr>
                <w:rFonts w:hint="eastAsia" w:ascii="宋体" w:hAnsi="宋体"/>
                <w:kern w:val="0"/>
                <w:sz w:val="24"/>
              </w:rPr>
              <w:t>（4）具有依法缴纳税收和社会保障资金的良好记录；</w:t>
            </w:r>
          </w:p>
          <w:p w14:paraId="07507FA7">
            <w:pPr>
              <w:tabs>
                <w:tab w:val="left" w:pos="1134"/>
              </w:tabs>
              <w:snapToGrid w:val="0"/>
              <w:spacing w:line="320" w:lineRule="exact"/>
              <w:rPr>
                <w:rFonts w:ascii="宋体" w:hAnsi="宋体"/>
                <w:kern w:val="0"/>
                <w:sz w:val="24"/>
              </w:rPr>
            </w:pPr>
            <w:r>
              <w:rPr>
                <w:rFonts w:hint="eastAsia" w:ascii="宋体" w:hAnsi="宋体"/>
                <w:kern w:val="0"/>
                <w:sz w:val="24"/>
              </w:rPr>
              <w:t>（5）具有政府</w:t>
            </w:r>
            <w:r>
              <w:rPr>
                <w:rFonts w:ascii="宋体" w:hAnsi="宋体"/>
                <w:kern w:val="0"/>
                <w:sz w:val="24"/>
              </w:rPr>
              <w:t>采购</w:t>
            </w:r>
            <w:r>
              <w:rPr>
                <w:rFonts w:hint="eastAsia" w:ascii="宋体" w:hAnsi="宋体"/>
                <w:kern w:val="0"/>
                <w:sz w:val="24"/>
              </w:rPr>
              <w:t>代理能力；</w:t>
            </w:r>
          </w:p>
          <w:p w14:paraId="580BF5D5">
            <w:pPr>
              <w:snapToGrid w:val="0"/>
              <w:rPr>
                <w:rFonts w:ascii="宋体" w:hAnsi="宋体" w:cs="宋体"/>
                <w:sz w:val="24"/>
                <w:szCs w:val="24"/>
              </w:rPr>
            </w:pPr>
            <w:r>
              <w:rPr>
                <w:rFonts w:hint="eastAsia" w:ascii="宋体" w:hAnsi="宋体"/>
                <w:kern w:val="0"/>
                <w:sz w:val="24"/>
              </w:rPr>
              <w:t>注：以上5项内容须提供相关材料，加盖本单位公章，每有1项满足要求得2分，最高得10分；每项证明材料不齐备、不清楚、不满足的不得分。</w:t>
            </w:r>
          </w:p>
        </w:tc>
      </w:tr>
      <w:tr w14:paraId="7105A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4" w:hRule="atLeast"/>
          <w:jc w:val="center"/>
        </w:trPr>
        <w:tc>
          <w:tcPr>
            <w:tcW w:w="508" w:type="dxa"/>
            <w:vMerge w:val="restart"/>
            <w:vAlign w:val="center"/>
          </w:tcPr>
          <w:p w14:paraId="346BCF11">
            <w:pPr>
              <w:snapToGrid w:val="0"/>
              <w:jc w:val="center"/>
              <w:rPr>
                <w:rFonts w:ascii="宋体" w:hAnsi="宋体" w:cs="宋体"/>
                <w:sz w:val="24"/>
                <w:szCs w:val="24"/>
              </w:rPr>
            </w:pPr>
            <w:r>
              <w:rPr>
                <w:rFonts w:hint="eastAsia" w:ascii="宋体" w:hAnsi="宋体" w:cs="宋体"/>
                <w:sz w:val="24"/>
                <w:szCs w:val="24"/>
              </w:rPr>
              <w:t>3</w:t>
            </w:r>
          </w:p>
        </w:tc>
        <w:tc>
          <w:tcPr>
            <w:tcW w:w="876" w:type="dxa"/>
            <w:vMerge w:val="restart"/>
            <w:vAlign w:val="center"/>
          </w:tcPr>
          <w:p w14:paraId="65944879">
            <w:pPr>
              <w:snapToGrid w:val="0"/>
              <w:jc w:val="center"/>
              <w:rPr>
                <w:rFonts w:ascii="宋体" w:hAnsi="宋体" w:cs="宋体"/>
                <w:bCs/>
                <w:sz w:val="24"/>
                <w:szCs w:val="24"/>
              </w:rPr>
            </w:pPr>
            <w:r>
              <w:rPr>
                <w:rFonts w:hint="eastAsia" w:ascii="宋体" w:hAnsi="宋体" w:cs="宋体"/>
                <w:bCs/>
                <w:sz w:val="24"/>
                <w:szCs w:val="24"/>
              </w:rPr>
              <w:t>技术及服务部分</w:t>
            </w:r>
          </w:p>
          <w:p w14:paraId="62F8177E">
            <w:pPr>
              <w:snapToGrid w:val="0"/>
              <w:jc w:val="center"/>
              <w:rPr>
                <w:rFonts w:ascii="宋体" w:hAnsi="宋体" w:cs="宋体"/>
                <w:sz w:val="24"/>
                <w:szCs w:val="24"/>
              </w:rPr>
            </w:pPr>
            <w:r>
              <w:rPr>
                <w:rFonts w:hint="eastAsia" w:ascii="宋体" w:hAnsi="宋体" w:cs="宋体"/>
                <w:bCs/>
                <w:sz w:val="24"/>
                <w:szCs w:val="24"/>
              </w:rPr>
              <w:t>（60</w:t>
            </w:r>
            <w:r>
              <w:rPr>
                <w:rFonts w:hint="eastAsia" w:ascii="宋体" w:hAnsi="宋体" w:cs="宋体"/>
                <w:sz w:val="24"/>
                <w:szCs w:val="24"/>
              </w:rPr>
              <w:t>）</w:t>
            </w:r>
          </w:p>
          <w:p w14:paraId="45CF4CC1">
            <w:pPr>
              <w:snapToGrid w:val="0"/>
              <w:rPr>
                <w:rFonts w:ascii="宋体" w:hAnsi="宋体" w:cs="宋体"/>
                <w:sz w:val="24"/>
                <w:szCs w:val="24"/>
              </w:rPr>
            </w:pPr>
          </w:p>
        </w:tc>
        <w:tc>
          <w:tcPr>
            <w:tcW w:w="1276" w:type="dxa"/>
            <w:vMerge w:val="restart"/>
            <w:vAlign w:val="center"/>
          </w:tcPr>
          <w:p w14:paraId="7F5BD130">
            <w:pPr>
              <w:jc w:val="center"/>
              <w:rPr>
                <w:rFonts w:ascii="宋体" w:hAnsi="宋体" w:cs="宋体"/>
                <w:sz w:val="24"/>
                <w:szCs w:val="24"/>
              </w:rPr>
            </w:pPr>
            <w:r>
              <w:rPr>
                <w:rFonts w:hint="eastAsia" w:ascii="宋体" w:hAnsi="宋体" w:cs="宋体"/>
                <w:sz w:val="24"/>
                <w:szCs w:val="24"/>
              </w:rPr>
              <w:t>服务团队</w:t>
            </w:r>
          </w:p>
        </w:tc>
        <w:tc>
          <w:tcPr>
            <w:tcW w:w="709" w:type="dxa"/>
            <w:vAlign w:val="center"/>
          </w:tcPr>
          <w:p w14:paraId="46A0262E">
            <w:pPr>
              <w:jc w:val="center"/>
              <w:rPr>
                <w:rFonts w:ascii="宋体" w:hAnsi="宋体" w:cs="宋体"/>
                <w:sz w:val="24"/>
                <w:szCs w:val="24"/>
              </w:rPr>
            </w:pPr>
          </w:p>
          <w:p w14:paraId="6D6A5473">
            <w:pPr>
              <w:jc w:val="center"/>
              <w:rPr>
                <w:rFonts w:ascii="宋体" w:hAnsi="宋体" w:cs="宋体"/>
                <w:b/>
                <w:sz w:val="24"/>
                <w:szCs w:val="24"/>
              </w:rPr>
            </w:pPr>
            <w:r>
              <w:rPr>
                <w:rFonts w:hint="eastAsia" w:ascii="宋体" w:hAnsi="宋体" w:cs="宋体"/>
                <w:sz w:val="24"/>
                <w:szCs w:val="24"/>
              </w:rPr>
              <w:t>10</w:t>
            </w:r>
          </w:p>
        </w:tc>
        <w:tc>
          <w:tcPr>
            <w:tcW w:w="5405" w:type="dxa"/>
            <w:vAlign w:val="center"/>
          </w:tcPr>
          <w:p w14:paraId="5BB6A411">
            <w:pPr>
              <w:rPr>
                <w:rFonts w:ascii="宋体" w:hAnsi="宋体" w:cs="宋体"/>
                <w:sz w:val="24"/>
                <w:szCs w:val="24"/>
              </w:rPr>
            </w:pPr>
            <w:r>
              <w:rPr>
                <w:rFonts w:hint="eastAsia" w:ascii="宋体" w:hAnsi="宋体"/>
                <w:kern w:val="0"/>
                <w:sz w:val="24"/>
                <w:szCs w:val="24"/>
              </w:rPr>
              <w:t>项目经理</w:t>
            </w:r>
            <w:r>
              <w:rPr>
                <w:rFonts w:hint="eastAsia" w:ascii="宋体" w:hAnsi="宋体" w:cs="宋体"/>
                <w:sz w:val="24"/>
                <w:szCs w:val="24"/>
              </w:rPr>
              <w:t>：</w:t>
            </w:r>
          </w:p>
          <w:p w14:paraId="4CCCD53C">
            <w:pPr>
              <w:rPr>
                <w:rFonts w:ascii="宋体" w:hAnsi="宋体" w:cs="宋体"/>
                <w:kern w:val="0"/>
                <w:sz w:val="24"/>
              </w:rPr>
            </w:pPr>
            <w:r>
              <w:rPr>
                <w:rFonts w:hint="eastAsia" w:ascii="宋体" w:hAnsi="宋体" w:cs="宋体"/>
                <w:kern w:val="0"/>
                <w:sz w:val="24"/>
              </w:rPr>
              <w:t>（1）</w:t>
            </w:r>
            <w:r>
              <w:rPr>
                <w:rFonts w:ascii="宋体" w:hAnsi="宋体" w:cs="宋体"/>
                <w:kern w:val="0"/>
                <w:sz w:val="24"/>
              </w:rPr>
              <w:t>是否为评标专家情况</w:t>
            </w:r>
            <w:r>
              <w:rPr>
                <w:rFonts w:hint="eastAsia" w:ascii="宋体" w:hAnsi="宋体" w:cs="宋体"/>
                <w:kern w:val="0"/>
                <w:sz w:val="24"/>
              </w:rPr>
              <w:t>，</w:t>
            </w:r>
            <w:r>
              <w:rPr>
                <w:rFonts w:ascii="宋体" w:hAnsi="宋体" w:cs="宋体"/>
                <w:kern w:val="0"/>
                <w:sz w:val="24"/>
              </w:rPr>
              <w:t>提供评标专家</w:t>
            </w:r>
            <w:r>
              <w:rPr>
                <w:rFonts w:hint="eastAsia" w:ascii="宋体" w:hAnsi="宋体" w:cs="宋体"/>
                <w:kern w:val="0"/>
                <w:sz w:val="24"/>
              </w:rPr>
              <w:t>证明材料</w:t>
            </w:r>
            <w:r>
              <w:rPr>
                <w:rFonts w:ascii="宋体" w:hAnsi="宋体" w:cs="宋体"/>
                <w:kern w:val="0"/>
                <w:sz w:val="24"/>
              </w:rPr>
              <w:t>（须加盖本单位公章）</w:t>
            </w:r>
            <w:r>
              <w:rPr>
                <w:rFonts w:hint="eastAsia" w:ascii="宋体" w:hAnsi="宋体" w:cs="宋体"/>
                <w:kern w:val="0"/>
                <w:sz w:val="24"/>
              </w:rPr>
              <w:t>，满足</w:t>
            </w:r>
            <w:r>
              <w:rPr>
                <w:rFonts w:hint="eastAsia" w:ascii="宋体" w:hAnsi="宋体" w:cs="宋体"/>
                <w:bCs/>
                <w:kern w:val="0"/>
                <w:sz w:val="24"/>
              </w:rPr>
              <w:t>5分，否则本项不得分。</w:t>
            </w:r>
          </w:p>
          <w:p w14:paraId="1A76B1BF">
            <w:pPr>
              <w:rPr>
                <w:rFonts w:ascii="宋体" w:hAnsi="宋体" w:cs="宋体"/>
                <w:sz w:val="24"/>
                <w:szCs w:val="24"/>
              </w:rPr>
            </w:pPr>
            <w:r>
              <w:rPr>
                <w:rFonts w:hint="eastAsia" w:ascii="宋体" w:hAnsi="宋体" w:cs="宋体"/>
                <w:sz w:val="24"/>
                <w:szCs w:val="24"/>
              </w:rPr>
              <w:t>（2）具备代理北京市三甲医院委托项目的经验，具有不少于15年招标代理经验（提供招标或中标公告打印件），具有高级职称（提供证书复印件），具备多品类服务项目招标代理的经验，</w:t>
            </w:r>
            <w:r>
              <w:rPr>
                <w:rFonts w:hint="eastAsia" w:ascii="宋体" w:hAnsi="宋体" w:cs="宋体"/>
                <w:kern w:val="0"/>
                <w:sz w:val="24"/>
              </w:rPr>
              <w:t>满足</w:t>
            </w:r>
            <w:r>
              <w:rPr>
                <w:rFonts w:hint="eastAsia" w:ascii="宋体" w:hAnsi="宋体" w:cs="宋体"/>
                <w:bCs/>
                <w:kern w:val="0"/>
                <w:sz w:val="24"/>
              </w:rPr>
              <w:t>5分，否则本项不得分</w:t>
            </w:r>
            <w:r>
              <w:rPr>
                <w:rFonts w:hint="eastAsia" w:ascii="宋体" w:hAnsi="宋体" w:cs="宋体"/>
                <w:sz w:val="24"/>
                <w:szCs w:val="24"/>
              </w:rPr>
              <w:t>。</w:t>
            </w:r>
          </w:p>
          <w:p w14:paraId="0B042788">
            <w:pPr>
              <w:rPr>
                <w:rFonts w:ascii="宋体" w:hAnsi="宋体" w:cs="宋体"/>
                <w:sz w:val="24"/>
                <w:szCs w:val="24"/>
              </w:rPr>
            </w:pPr>
            <w:r>
              <w:rPr>
                <w:rFonts w:hint="eastAsia" w:ascii="宋体" w:hAnsi="宋体" w:cs="宋体"/>
                <w:sz w:val="24"/>
                <w:szCs w:val="24"/>
              </w:rPr>
              <w:t>注：申请人须提供为本项目经理缴纳社保的证明材料及工作简历，否则本项不得分。</w:t>
            </w:r>
          </w:p>
        </w:tc>
      </w:tr>
      <w:tr w14:paraId="2B81F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508" w:type="dxa"/>
            <w:vMerge w:val="continue"/>
            <w:vAlign w:val="center"/>
          </w:tcPr>
          <w:p w14:paraId="0A767357">
            <w:pPr>
              <w:snapToGrid w:val="0"/>
              <w:jc w:val="center"/>
              <w:rPr>
                <w:rFonts w:ascii="宋体" w:hAnsi="宋体" w:cs="宋体"/>
                <w:sz w:val="24"/>
                <w:szCs w:val="24"/>
              </w:rPr>
            </w:pPr>
          </w:p>
        </w:tc>
        <w:tc>
          <w:tcPr>
            <w:tcW w:w="876" w:type="dxa"/>
            <w:vMerge w:val="continue"/>
            <w:vAlign w:val="center"/>
          </w:tcPr>
          <w:p w14:paraId="136EC49E">
            <w:pPr>
              <w:snapToGrid w:val="0"/>
              <w:rPr>
                <w:rFonts w:ascii="宋体" w:hAnsi="宋体" w:cs="宋体"/>
                <w:sz w:val="24"/>
                <w:szCs w:val="24"/>
              </w:rPr>
            </w:pPr>
          </w:p>
        </w:tc>
        <w:tc>
          <w:tcPr>
            <w:tcW w:w="1276" w:type="dxa"/>
            <w:vMerge w:val="continue"/>
            <w:vAlign w:val="center"/>
          </w:tcPr>
          <w:p w14:paraId="05E1A93C">
            <w:pPr>
              <w:jc w:val="center"/>
              <w:rPr>
                <w:rFonts w:ascii="宋体" w:hAnsi="宋体" w:cs="宋体"/>
                <w:sz w:val="24"/>
                <w:szCs w:val="24"/>
              </w:rPr>
            </w:pPr>
          </w:p>
        </w:tc>
        <w:tc>
          <w:tcPr>
            <w:tcW w:w="709" w:type="dxa"/>
            <w:vAlign w:val="center"/>
          </w:tcPr>
          <w:p w14:paraId="7859C3B1">
            <w:pPr>
              <w:snapToGrid w:val="0"/>
              <w:jc w:val="center"/>
              <w:rPr>
                <w:rFonts w:ascii="宋体" w:hAnsi="宋体" w:cs="宋体"/>
                <w:sz w:val="24"/>
                <w:szCs w:val="24"/>
              </w:rPr>
            </w:pPr>
            <w:r>
              <w:rPr>
                <w:rFonts w:hint="eastAsia" w:ascii="宋体" w:hAnsi="宋体" w:cs="宋体"/>
                <w:sz w:val="24"/>
                <w:szCs w:val="24"/>
              </w:rPr>
              <w:t>10</w:t>
            </w:r>
          </w:p>
        </w:tc>
        <w:tc>
          <w:tcPr>
            <w:tcW w:w="5405" w:type="dxa"/>
            <w:vAlign w:val="center"/>
          </w:tcPr>
          <w:p w14:paraId="52236350">
            <w:pPr>
              <w:rPr>
                <w:rFonts w:ascii="宋体" w:hAnsi="宋体" w:cs="宋体"/>
                <w:sz w:val="24"/>
                <w:szCs w:val="24"/>
              </w:rPr>
            </w:pPr>
            <w:r>
              <w:rPr>
                <w:rFonts w:hint="eastAsia" w:ascii="宋体" w:hAnsi="宋体" w:cs="宋体"/>
                <w:sz w:val="24"/>
                <w:szCs w:val="24"/>
              </w:rPr>
              <w:t>服务团队成员：</w:t>
            </w:r>
          </w:p>
          <w:p w14:paraId="567239BD">
            <w:pPr>
              <w:numPr>
                <w:ilvl w:val="0"/>
                <w:numId w:val="5"/>
              </w:numPr>
              <w:spacing w:before="156" w:beforeLines="50"/>
              <w:rPr>
                <w:rFonts w:ascii="宋体" w:hAnsi="宋体" w:cs="等线"/>
                <w:sz w:val="24"/>
                <w:szCs w:val="24"/>
              </w:rPr>
            </w:pPr>
            <w:r>
              <w:rPr>
                <w:rFonts w:hint="eastAsia" w:ascii="宋体" w:hAnsi="宋体" w:cs="等线"/>
                <w:sz w:val="24"/>
                <w:szCs w:val="24"/>
              </w:rPr>
              <w:t>项目组成员结构图清晰，人员配备充足（包含招标业务人员、财务人员、质量控制人员、法律人员），团队人员从业经验充足，所提供项目组成员必须保证与协和项目实际服务团队人员一致，以上要求满足6分， 部分满足3分，未提供0分。</w:t>
            </w:r>
          </w:p>
          <w:p w14:paraId="1D99EC6C">
            <w:pPr>
              <w:spacing w:before="156" w:beforeLines="50"/>
              <w:jc w:val="left"/>
              <w:rPr>
                <w:rFonts w:ascii="宋体" w:hAnsi="宋体" w:cs="等线"/>
                <w:sz w:val="24"/>
                <w:szCs w:val="24"/>
              </w:rPr>
            </w:pPr>
            <w:r>
              <w:rPr>
                <w:rFonts w:hint="eastAsia" w:ascii="宋体" w:hAnsi="宋体" w:cs="等线"/>
                <w:sz w:val="24"/>
                <w:szCs w:val="24"/>
              </w:rPr>
              <w:t>（2）团队成员中同时具有高级职称和招标师证书不少于2名的得4分，1名得2分，没有0分。</w:t>
            </w:r>
          </w:p>
          <w:p w14:paraId="4785FE65">
            <w:pPr>
              <w:rPr>
                <w:rFonts w:ascii="宋体" w:hAnsi="宋体" w:cs="宋体"/>
                <w:sz w:val="24"/>
                <w:szCs w:val="24"/>
              </w:rPr>
            </w:pPr>
            <w:r>
              <w:rPr>
                <w:rFonts w:hint="eastAsia" w:ascii="宋体" w:hAnsi="宋体" w:cs="等线"/>
                <w:sz w:val="24"/>
                <w:szCs w:val="24"/>
              </w:rPr>
              <w:t>注：</w:t>
            </w:r>
            <w:r>
              <w:rPr>
                <w:rFonts w:hint="eastAsia"/>
                <w:sz w:val="24"/>
              </w:rPr>
              <w:t>提供团队成员简历（含学历、职称、注册证书、相关从业经验及业绩）、团队分工及职责描述，团队工作方案，申请人近</w:t>
            </w:r>
            <w:r>
              <w:rPr>
                <w:sz w:val="24"/>
              </w:rPr>
              <w:t>3</w:t>
            </w:r>
            <w:r>
              <w:rPr>
                <w:rFonts w:hint="eastAsia"/>
                <w:sz w:val="24"/>
              </w:rPr>
              <w:t>个月内任意月份项目团队人员缴纳社保证明文件、相关证书复印件。证书证明材料复印件并加盖单位公章；相关工作经验以委托代理协议相关内容页、公告公示截图等作为评审的依据</w:t>
            </w:r>
            <w:r>
              <w:rPr>
                <w:rFonts w:hint="eastAsia" w:ascii="宋体" w:hAnsi="宋体" w:cs="等线"/>
                <w:sz w:val="24"/>
                <w:szCs w:val="24"/>
              </w:rPr>
              <w:t>。</w:t>
            </w:r>
          </w:p>
        </w:tc>
      </w:tr>
      <w:tr w14:paraId="1C0CB0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08" w:type="dxa"/>
            <w:vMerge w:val="continue"/>
            <w:vAlign w:val="center"/>
          </w:tcPr>
          <w:p w14:paraId="407C302D">
            <w:pPr>
              <w:snapToGrid w:val="0"/>
              <w:jc w:val="center"/>
              <w:rPr>
                <w:rFonts w:ascii="宋体" w:hAnsi="宋体" w:cs="宋体"/>
                <w:sz w:val="24"/>
                <w:szCs w:val="24"/>
              </w:rPr>
            </w:pPr>
          </w:p>
        </w:tc>
        <w:tc>
          <w:tcPr>
            <w:tcW w:w="876" w:type="dxa"/>
            <w:vMerge w:val="continue"/>
            <w:vAlign w:val="center"/>
          </w:tcPr>
          <w:p w14:paraId="56C32A1F">
            <w:pPr>
              <w:snapToGrid w:val="0"/>
              <w:jc w:val="center"/>
              <w:rPr>
                <w:rFonts w:ascii="宋体" w:hAnsi="宋体" w:cs="宋体"/>
                <w:sz w:val="24"/>
                <w:szCs w:val="24"/>
              </w:rPr>
            </w:pPr>
          </w:p>
        </w:tc>
        <w:tc>
          <w:tcPr>
            <w:tcW w:w="1276" w:type="dxa"/>
            <w:vAlign w:val="center"/>
          </w:tcPr>
          <w:p w14:paraId="274C1F18">
            <w:pPr>
              <w:jc w:val="center"/>
              <w:rPr>
                <w:rFonts w:ascii="宋体" w:hAnsi="宋体" w:cs="宋体"/>
                <w:sz w:val="24"/>
                <w:szCs w:val="24"/>
              </w:rPr>
            </w:pPr>
            <w:r>
              <w:rPr>
                <w:rFonts w:hint="eastAsia" w:ascii="宋体" w:hAnsi="宋体" w:cs="宋体"/>
                <w:sz w:val="24"/>
                <w:szCs w:val="24"/>
              </w:rPr>
              <w:t>公司实力</w:t>
            </w:r>
          </w:p>
        </w:tc>
        <w:tc>
          <w:tcPr>
            <w:tcW w:w="709" w:type="dxa"/>
            <w:vAlign w:val="center"/>
          </w:tcPr>
          <w:p w14:paraId="51ADE47F">
            <w:pPr>
              <w:snapToGrid w:val="0"/>
              <w:jc w:val="center"/>
              <w:rPr>
                <w:rFonts w:ascii="宋体" w:hAnsi="宋体" w:cs="宋体"/>
                <w:b/>
                <w:sz w:val="24"/>
                <w:szCs w:val="24"/>
              </w:rPr>
            </w:pPr>
            <w:r>
              <w:rPr>
                <w:rFonts w:hint="eastAsia" w:ascii="宋体" w:hAnsi="宋体" w:cs="宋体"/>
                <w:bCs/>
                <w:sz w:val="24"/>
                <w:szCs w:val="24"/>
              </w:rPr>
              <w:t>10</w:t>
            </w:r>
          </w:p>
        </w:tc>
        <w:tc>
          <w:tcPr>
            <w:tcW w:w="5405" w:type="dxa"/>
            <w:vAlign w:val="center"/>
          </w:tcPr>
          <w:p w14:paraId="7655BF34">
            <w:pPr>
              <w:rPr>
                <w:color w:val="000000"/>
                <w:sz w:val="24"/>
                <w:szCs w:val="24"/>
              </w:rPr>
            </w:pPr>
            <w:r>
              <w:rPr>
                <w:rFonts w:hint="eastAsia" w:ascii="宋体" w:hAnsi="宋体"/>
                <w:kern w:val="0"/>
                <w:sz w:val="24"/>
                <w:szCs w:val="24"/>
              </w:rPr>
              <w:t>（1）有完善充足的开评标的场地，具有录音录像设备监控设施</w:t>
            </w:r>
            <w:r>
              <w:rPr>
                <w:rFonts w:hint="eastAsia"/>
                <w:color w:val="000000"/>
                <w:sz w:val="24"/>
                <w:szCs w:val="24"/>
              </w:rPr>
              <w:t>；（提供文字及数据说明、带有公司名称或标识的相关照片资料以及设备清单）；</w:t>
            </w:r>
          </w:p>
          <w:p w14:paraId="583F69EB">
            <w:pPr>
              <w:rPr>
                <w:rFonts w:ascii="宋体" w:hAnsi="宋体" w:cs="宋体"/>
                <w:sz w:val="24"/>
                <w:szCs w:val="24"/>
              </w:rPr>
            </w:pPr>
            <w:r>
              <w:rPr>
                <w:rFonts w:hint="eastAsia" w:ascii="宋体" w:hAnsi="宋体" w:cs="宋体"/>
                <w:kern w:val="0"/>
                <w:sz w:val="24"/>
              </w:rPr>
              <w:t>（2）有完备的招标档案保管的管理办法和场所，纸质和电子档案同时保存（提供存储证明，存储地点、面积等文字及数据说明，相关照片资料及设备清单）；</w:t>
            </w:r>
          </w:p>
          <w:p w14:paraId="41FDDE9F">
            <w:pPr>
              <w:rPr>
                <w:rFonts w:ascii="宋体" w:hAnsi="宋体" w:cs="宋体"/>
                <w:sz w:val="24"/>
                <w:szCs w:val="24"/>
              </w:rPr>
            </w:pPr>
            <w:r>
              <w:rPr>
                <w:rFonts w:hint="eastAsia" w:ascii="宋体" w:hAnsi="宋体" w:cs="宋体"/>
                <w:kern w:val="0"/>
                <w:sz w:val="24"/>
              </w:rPr>
              <w:t>（3）有完备的措施和预案，保障正常开标和招标过程的顺利进行；</w:t>
            </w:r>
          </w:p>
          <w:p w14:paraId="5422EB1C">
            <w:pPr>
              <w:rPr>
                <w:rFonts w:ascii="宋体" w:hAnsi="宋体" w:cs="宋体"/>
                <w:sz w:val="24"/>
                <w:szCs w:val="24"/>
              </w:rPr>
            </w:pPr>
            <w:r>
              <w:rPr>
                <w:rFonts w:hint="eastAsia" w:ascii="宋体" w:hAnsi="宋体" w:cs="宋体"/>
                <w:kern w:val="0"/>
                <w:sz w:val="24"/>
              </w:rPr>
              <w:t>（4）具有较完善的电子化招标业务系统（提供电子招标系统截图）；</w:t>
            </w:r>
          </w:p>
          <w:p w14:paraId="3235B221">
            <w:pPr>
              <w:rPr>
                <w:rFonts w:ascii="宋体" w:hAnsi="宋体" w:cs="宋体"/>
                <w:sz w:val="24"/>
                <w:szCs w:val="24"/>
              </w:rPr>
            </w:pPr>
            <w:r>
              <w:rPr>
                <w:rFonts w:hint="eastAsia" w:ascii="宋体" w:hAnsi="宋体" w:cs="宋体"/>
                <w:sz w:val="24"/>
                <w:szCs w:val="24"/>
              </w:rPr>
              <w:t>（5）具有较完善的专家库，专业覆盖全面、人员充足。</w:t>
            </w:r>
          </w:p>
          <w:p w14:paraId="70557F03">
            <w:pPr>
              <w:rPr>
                <w:rFonts w:ascii="宋体" w:hAnsi="宋体" w:cs="宋体"/>
                <w:sz w:val="24"/>
                <w:szCs w:val="24"/>
              </w:rPr>
            </w:pPr>
            <w:r>
              <w:rPr>
                <w:rFonts w:hint="eastAsia" w:ascii="宋体" w:hAnsi="宋体" w:cs="宋体"/>
                <w:sz w:val="24"/>
                <w:szCs w:val="24"/>
              </w:rPr>
              <w:t>注：以上5项内容须提供相关材料，</w:t>
            </w:r>
            <w:r>
              <w:rPr>
                <w:rFonts w:hint="eastAsia" w:ascii="宋体" w:hAnsi="宋体" w:cs="宋体"/>
                <w:kern w:val="0"/>
                <w:sz w:val="24"/>
              </w:rPr>
              <w:t>加盖本单位公章，</w:t>
            </w:r>
            <w:r>
              <w:rPr>
                <w:rFonts w:hint="eastAsia" w:ascii="宋体" w:hAnsi="宋体" w:cs="宋体"/>
                <w:sz w:val="24"/>
                <w:szCs w:val="24"/>
              </w:rPr>
              <w:t>每有1项满足要求得2分，最高得10分；每项证明材料不齐备、不清楚、不满足的不得分。</w:t>
            </w:r>
          </w:p>
        </w:tc>
      </w:tr>
      <w:tr w14:paraId="6C0BC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08" w:type="dxa"/>
            <w:vMerge w:val="continue"/>
            <w:vAlign w:val="center"/>
          </w:tcPr>
          <w:p w14:paraId="45B72115">
            <w:pPr>
              <w:snapToGrid w:val="0"/>
              <w:jc w:val="center"/>
              <w:rPr>
                <w:rFonts w:ascii="宋体" w:hAnsi="宋体" w:cs="宋体"/>
                <w:sz w:val="24"/>
                <w:szCs w:val="24"/>
              </w:rPr>
            </w:pPr>
          </w:p>
        </w:tc>
        <w:tc>
          <w:tcPr>
            <w:tcW w:w="876" w:type="dxa"/>
            <w:vMerge w:val="continue"/>
            <w:vAlign w:val="center"/>
          </w:tcPr>
          <w:p w14:paraId="0752F640">
            <w:pPr>
              <w:snapToGrid w:val="0"/>
              <w:jc w:val="center"/>
              <w:rPr>
                <w:rFonts w:ascii="宋体" w:hAnsi="宋体" w:cs="宋体"/>
                <w:sz w:val="24"/>
                <w:szCs w:val="24"/>
              </w:rPr>
            </w:pPr>
          </w:p>
        </w:tc>
        <w:tc>
          <w:tcPr>
            <w:tcW w:w="1276" w:type="dxa"/>
            <w:vAlign w:val="center"/>
          </w:tcPr>
          <w:p w14:paraId="70853F4E">
            <w:pPr>
              <w:snapToGrid w:val="0"/>
              <w:jc w:val="center"/>
              <w:rPr>
                <w:rFonts w:ascii="宋体" w:hAnsi="宋体" w:cs="宋体"/>
                <w:sz w:val="24"/>
                <w:szCs w:val="24"/>
              </w:rPr>
            </w:pPr>
            <w:r>
              <w:rPr>
                <w:rFonts w:hint="eastAsia" w:ascii="宋体" w:hAnsi="宋体" w:cs="宋体"/>
                <w:bCs/>
                <w:sz w:val="24"/>
                <w:szCs w:val="24"/>
              </w:rPr>
              <w:t>相关承诺</w:t>
            </w:r>
          </w:p>
        </w:tc>
        <w:tc>
          <w:tcPr>
            <w:tcW w:w="709" w:type="dxa"/>
            <w:vAlign w:val="center"/>
          </w:tcPr>
          <w:p w14:paraId="0C816005">
            <w:pPr>
              <w:snapToGrid w:val="0"/>
              <w:jc w:val="center"/>
              <w:rPr>
                <w:rFonts w:ascii="宋体" w:hAnsi="宋体" w:cs="宋体"/>
                <w:sz w:val="24"/>
                <w:szCs w:val="24"/>
              </w:rPr>
            </w:pPr>
            <w:r>
              <w:rPr>
                <w:rFonts w:hint="eastAsia" w:ascii="宋体" w:hAnsi="宋体" w:cs="宋体"/>
                <w:sz w:val="24"/>
                <w:szCs w:val="24"/>
              </w:rPr>
              <w:t>10</w:t>
            </w:r>
          </w:p>
        </w:tc>
        <w:tc>
          <w:tcPr>
            <w:tcW w:w="5405" w:type="dxa"/>
            <w:vAlign w:val="center"/>
          </w:tcPr>
          <w:p w14:paraId="74540991">
            <w:pPr>
              <w:rPr>
                <w:rFonts w:ascii="宋体" w:hAnsi="宋体" w:cs="宋体"/>
                <w:sz w:val="24"/>
                <w:szCs w:val="24"/>
              </w:rPr>
            </w:pPr>
            <w:r>
              <w:rPr>
                <w:rFonts w:hint="eastAsia" w:ascii="宋体" w:hAnsi="宋体" w:cs="宋体"/>
                <w:sz w:val="24"/>
                <w:szCs w:val="24"/>
              </w:rPr>
              <w:t>申请人提供承诺函，承诺为：</w:t>
            </w:r>
          </w:p>
          <w:p w14:paraId="24B74A27">
            <w:pPr>
              <w:rPr>
                <w:rFonts w:ascii="宋体" w:hAnsi="宋体" w:cs="宋体"/>
                <w:sz w:val="24"/>
                <w:szCs w:val="24"/>
              </w:rPr>
            </w:pPr>
            <w:r>
              <w:rPr>
                <w:rFonts w:hint="eastAsia" w:ascii="宋体" w:hAnsi="宋体" w:cs="宋体"/>
                <w:sz w:val="24"/>
                <w:szCs w:val="24"/>
              </w:rPr>
              <w:t>（1）</w:t>
            </w:r>
            <w:r>
              <w:rPr>
                <w:rFonts w:hint="eastAsia" w:ascii="宋体" w:hAnsi="宋体"/>
                <w:sz w:val="24"/>
                <w:szCs w:val="24"/>
              </w:rPr>
              <w:t>招标代理服务费报价中含专家论证、资审和评标阶段专家的评审费用</w:t>
            </w:r>
            <w:r>
              <w:rPr>
                <w:rFonts w:hint="eastAsia" w:ascii="宋体" w:hAnsi="宋体" w:cs="宋体"/>
                <w:sz w:val="24"/>
                <w:szCs w:val="24"/>
              </w:rPr>
              <w:t>；</w:t>
            </w:r>
          </w:p>
          <w:p w14:paraId="338FF60E">
            <w:pPr>
              <w:rPr>
                <w:rFonts w:ascii="宋体" w:hAnsi="宋体" w:cs="宋体"/>
                <w:kern w:val="0"/>
                <w:sz w:val="24"/>
              </w:rPr>
            </w:pPr>
            <w:r>
              <w:rPr>
                <w:rFonts w:hint="eastAsia" w:ascii="宋体" w:hAnsi="宋体" w:cs="宋体"/>
                <w:kern w:val="0"/>
                <w:sz w:val="24"/>
              </w:rPr>
              <w:t>（2）向遴选人提供有关法律、法规、商务、技术等方面的业务咨询；</w:t>
            </w:r>
          </w:p>
          <w:p w14:paraId="54915692">
            <w:pPr>
              <w:rPr>
                <w:rFonts w:ascii="宋体" w:hAnsi="宋体" w:cs="宋体"/>
                <w:kern w:val="0"/>
                <w:sz w:val="24"/>
              </w:rPr>
            </w:pPr>
            <w:r>
              <w:rPr>
                <w:rFonts w:hint="eastAsia" w:ascii="宋体" w:hAnsi="宋体" w:cs="宋体"/>
                <w:kern w:val="0"/>
                <w:sz w:val="24"/>
              </w:rPr>
              <w:t>（3）服务响应及时，招标文件等文稿需要在三个工作日内编制完成；招标公告需要在二个工作日内编制完成；招标代理机构未经遴选人同意不得随意更换项目经理。遴选人根据招标代理服务表现，有权要求更换医院服务团队；</w:t>
            </w:r>
            <w:r>
              <w:rPr>
                <w:rFonts w:ascii="宋体" w:hAnsi="宋体" w:cs="宋体"/>
                <w:kern w:val="0"/>
                <w:sz w:val="24"/>
              </w:rPr>
              <w:t xml:space="preserve"> </w:t>
            </w:r>
          </w:p>
          <w:p w14:paraId="247B6C82">
            <w:pPr>
              <w:rPr>
                <w:rFonts w:ascii="宋体" w:hAnsi="宋体"/>
                <w:sz w:val="24"/>
                <w:szCs w:val="24"/>
              </w:rPr>
            </w:pPr>
            <w:r>
              <w:rPr>
                <w:rFonts w:hint="eastAsia" w:ascii="宋体" w:hAnsi="宋体" w:cs="宋体"/>
                <w:sz w:val="24"/>
                <w:szCs w:val="24"/>
              </w:rPr>
              <w:t>（</w:t>
            </w:r>
            <w:r>
              <w:rPr>
                <w:rFonts w:ascii="宋体" w:hAnsi="宋体"/>
                <w:sz w:val="24"/>
                <w:szCs w:val="24"/>
              </w:rPr>
              <w:t>4</w:t>
            </w:r>
            <w:r>
              <w:rPr>
                <w:rFonts w:hint="eastAsia" w:ascii="宋体" w:hAnsi="宋体"/>
                <w:sz w:val="24"/>
                <w:szCs w:val="24"/>
              </w:rPr>
              <w:t>）</w:t>
            </w:r>
            <w:r>
              <w:rPr>
                <w:rFonts w:hint="eastAsia" w:ascii="宋体" w:hAnsi="宋体" w:cs="宋体"/>
                <w:kern w:val="0"/>
                <w:sz w:val="24"/>
              </w:rPr>
              <w:t>能提供招标档案查询及复印，</w:t>
            </w:r>
            <w:r>
              <w:rPr>
                <w:rFonts w:hint="eastAsia" w:ascii="宋体" w:hAnsi="宋体"/>
                <w:sz w:val="24"/>
                <w:szCs w:val="24"/>
              </w:rPr>
              <w:t>积极配合并协助遴选人完成有关招标工作的后续审计、巡视等相关工作；</w:t>
            </w:r>
          </w:p>
          <w:p w14:paraId="003FEEB5">
            <w:pPr>
              <w:rPr>
                <w:rFonts w:ascii="宋体" w:hAnsi="宋体"/>
                <w:kern w:val="0"/>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）承诺</w:t>
            </w:r>
            <w:r>
              <w:rPr>
                <w:rFonts w:hint="eastAsia" w:ascii="宋体" w:hAnsi="宋体" w:cs="仿宋_GB2312"/>
                <w:color w:val="000000"/>
                <w:sz w:val="24"/>
              </w:rPr>
              <w:t>招标文件售价按照弥补制作、邮寄成本的原则确定，</w:t>
            </w:r>
            <w:r>
              <w:rPr>
                <w:rFonts w:hint="eastAsia" w:ascii="宋体" w:hAnsi="宋体"/>
                <w:sz w:val="24"/>
                <w:szCs w:val="24"/>
              </w:rPr>
              <w:t>不以营利为目的对外出售招标文件。</w:t>
            </w:r>
          </w:p>
          <w:p w14:paraId="2FF2DB92">
            <w:pPr>
              <w:tabs>
                <w:tab w:val="left" w:pos="1134"/>
              </w:tabs>
              <w:snapToGrid w:val="0"/>
              <w:spacing w:line="320" w:lineRule="exact"/>
              <w:rPr>
                <w:rFonts w:ascii="宋体" w:hAnsi="宋体"/>
                <w:sz w:val="24"/>
                <w:szCs w:val="24"/>
              </w:rPr>
            </w:pPr>
            <w:r>
              <w:rPr>
                <w:rFonts w:hint="eastAsia" w:ascii="宋体" w:hAnsi="宋体" w:cs="宋体"/>
                <w:sz w:val="24"/>
                <w:szCs w:val="24"/>
              </w:rPr>
              <w:t>以上承诺函均需申请人加盖公章，每提供一项承诺函得</w:t>
            </w:r>
            <w:r>
              <w:rPr>
                <w:rFonts w:ascii="宋体" w:hAnsi="宋体" w:cs="宋体"/>
                <w:sz w:val="24"/>
                <w:szCs w:val="24"/>
              </w:rPr>
              <w:t>2</w:t>
            </w:r>
            <w:r>
              <w:rPr>
                <w:rFonts w:hint="eastAsia" w:ascii="宋体" w:hAnsi="宋体" w:cs="宋体"/>
                <w:sz w:val="24"/>
                <w:szCs w:val="24"/>
              </w:rPr>
              <w:t>分，满分1</w:t>
            </w:r>
            <w:r>
              <w:rPr>
                <w:rFonts w:ascii="宋体" w:hAnsi="宋体" w:cs="宋体"/>
                <w:sz w:val="24"/>
                <w:szCs w:val="24"/>
              </w:rPr>
              <w:t>0</w:t>
            </w:r>
            <w:r>
              <w:rPr>
                <w:rFonts w:hint="eastAsia" w:ascii="宋体" w:hAnsi="宋体" w:cs="宋体"/>
                <w:sz w:val="24"/>
                <w:szCs w:val="24"/>
              </w:rPr>
              <w:t>分。每项证明材料不齐备、不清楚、不满足的不得分。</w:t>
            </w:r>
          </w:p>
        </w:tc>
      </w:tr>
      <w:tr w14:paraId="3734AB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7" w:hRule="atLeast"/>
          <w:jc w:val="center"/>
        </w:trPr>
        <w:tc>
          <w:tcPr>
            <w:tcW w:w="508" w:type="dxa"/>
            <w:vMerge w:val="continue"/>
            <w:vAlign w:val="center"/>
          </w:tcPr>
          <w:p w14:paraId="0E5FD17A">
            <w:pPr>
              <w:snapToGrid w:val="0"/>
              <w:jc w:val="center"/>
              <w:rPr>
                <w:rFonts w:ascii="宋体" w:hAnsi="宋体" w:cs="宋体"/>
                <w:sz w:val="24"/>
                <w:szCs w:val="24"/>
              </w:rPr>
            </w:pPr>
          </w:p>
        </w:tc>
        <w:tc>
          <w:tcPr>
            <w:tcW w:w="876" w:type="dxa"/>
            <w:vMerge w:val="continue"/>
            <w:vAlign w:val="center"/>
          </w:tcPr>
          <w:p w14:paraId="7A0FA993">
            <w:pPr>
              <w:snapToGrid w:val="0"/>
              <w:jc w:val="center"/>
              <w:rPr>
                <w:rFonts w:ascii="宋体" w:hAnsi="宋体" w:cs="宋体"/>
                <w:sz w:val="24"/>
                <w:szCs w:val="24"/>
              </w:rPr>
            </w:pPr>
          </w:p>
        </w:tc>
        <w:tc>
          <w:tcPr>
            <w:tcW w:w="1276" w:type="dxa"/>
            <w:vAlign w:val="center"/>
          </w:tcPr>
          <w:p w14:paraId="716DE2C6">
            <w:pPr>
              <w:jc w:val="center"/>
              <w:rPr>
                <w:rFonts w:ascii="宋体" w:hAnsi="宋体" w:cs="宋体"/>
                <w:sz w:val="24"/>
                <w:szCs w:val="24"/>
              </w:rPr>
            </w:pPr>
            <w:r>
              <w:rPr>
                <w:rFonts w:hint="eastAsia" w:ascii="宋体" w:hAnsi="宋体" w:cs="宋体"/>
                <w:sz w:val="24"/>
                <w:szCs w:val="24"/>
              </w:rPr>
              <w:t>实施方案</w:t>
            </w:r>
          </w:p>
        </w:tc>
        <w:tc>
          <w:tcPr>
            <w:tcW w:w="709" w:type="dxa"/>
            <w:vAlign w:val="center"/>
          </w:tcPr>
          <w:p w14:paraId="39F30CEB">
            <w:pPr>
              <w:snapToGrid w:val="0"/>
              <w:jc w:val="center"/>
              <w:rPr>
                <w:rFonts w:ascii="宋体" w:hAnsi="宋体" w:cs="宋体"/>
                <w:sz w:val="24"/>
                <w:szCs w:val="24"/>
              </w:rPr>
            </w:pPr>
            <w:r>
              <w:rPr>
                <w:rFonts w:hint="eastAsia" w:ascii="宋体" w:hAnsi="宋体" w:cs="宋体"/>
                <w:sz w:val="24"/>
                <w:szCs w:val="24"/>
              </w:rPr>
              <w:t>20</w:t>
            </w:r>
          </w:p>
        </w:tc>
        <w:tc>
          <w:tcPr>
            <w:tcW w:w="5405" w:type="dxa"/>
            <w:vAlign w:val="center"/>
          </w:tcPr>
          <w:p w14:paraId="4889AB5A">
            <w:pPr>
              <w:rPr>
                <w:rFonts w:ascii="宋体" w:hAnsi="宋体" w:cs="宋体"/>
                <w:sz w:val="24"/>
                <w:szCs w:val="24"/>
              </w:rPr>
            </w:pPr>
            <w:r>
              <w:rPr>
                <w:rFonts w:hint="eastAsia" w:ascii="宋体" w:hAnsi="宋体" w:cs="宋体"/>
                <w:sz w:val="24"/>
                <w:szCs w:val="24"/>
              </w:rPr>
              <w:t>（1）实施方案总体合理性。根据遴选人不同采购项目特点、难点分析、理解情况，提供招标代理服务实施方案，保证招标质量，具备风险控制措施和紧急采购能力。</w:t>
            </w:r>
          </w:p>
          <w:p w14:paraId="647F6799">
            <w:pPr>
              <w:rPr>
                <w:rFonts w:ascii="宋体" w:hAnsi="宋体" w:cs="宋体"/>
                <w:sz w:val="24"/>
                <w:szCs w:val="24"/>
              </w:rPr>
            </w:pPr>
            <w:r>
              <w:rPr>
                <w:rFonts w:hint="eastAsia" w:ascii="宋体" w:hAnsi="宋体" w:cs="宋体"/>
                <w:sz w:val="24"/>
                <w:szCs w:val="24"/>
              </w:rPr>
              <w:t>方案分析准确透彻，具有丰富的实践经验和管理水平，数智化水平高，针对性强，贴合医院实际情况和历史经验，对医院服务项目采购的重要性、特殊性把握精准，定位明确，完全满足采购要求，最优得10分，较好8分，一般5分，较差3分，未阐述0分；</w:t>
            </w:r>
          </w:p>
          <w:p w14:paraId="06B63280">
            <w:pPr>
              <w:rPr>
                <w:rFonts w:ascii="宋体" w:hAnsi="宋体" w:cs="宋体"/>
                <w:sz w:val="24"/>
                <w:szCs w:val="24"/>
              </w:rPr>
            </w:pPr>
            <w:r>
              <w:rPr>
                <w:rFonts w:hint="eastAsia" w:ascii="宋体" w:hAnsi="宋体" w:cs="宋体"/>
                <w:sz w:val="24"/>
                <w:szCs w:val="24"/>
              </w:rPr>
              <w:t>（2）内控制度。</w:t>
            </w:r>
            <w:r>
              <w:rPr>
                <w:rFonts w:hint="eastAsia" w:ascii="宋体" w:hAnsi="宋体" w:cs="宋体"/>
                <w:color w:val="000000"/>
                <w:kern w:val="0"/>
                <w:sz w:val="24"/>
                <w:szCs w:val="24"/>
              </w:rPr>
              <w:t>具有完备的内控管理制度，包括质量控制措施、采购代理委托管理、采购需求定制管理、采购文件编制管理、信息公告管理、评审管理、保证金管理、档案管理等进行评价，</w:t>
            </w:r>
            <w:r>
              <w:rPr>
                <w:rFonts w:hint="eastAsia" w:ascii="宋体" w:hAnsi="宋体" w:cs="宋体"/>
                <w:sz w:val="24"/>
                <w:szCs w:val="24"/>
              </w:rPr>
              <w:t>最优得</w:t>
            </w:r>
            <w:r>
              <w:rPr>
                <w:rFonts w:ascii="宋体" w:hAnsi="宋体" w:cs="宋体"/>
                <w:sz w:val="24"/>
                <w:szCs w:val="24"/>
              </w:rPr>
              <w:t>5</w:t>
            </w:r>
            <w:r>
              <w:rPr>
                <w:rFonts w:hint="eastAsia" w:ascii="宋体" w:hAnsi="宋体" w:cs="宋体"/>
                <w:sz w:val="24"/>
                <w:szCs w:val="24"/>
              </w:rPr>
              <w:t>分，较好</w:t>
            </w:r>
            <w:r>
              <w:rPr>
                <w:rFonts w:ascii="宋体" w:hAnsi="宋体" w:cs="宋体"/>
                <w:sz w:val="24"/>
                <w:szCs w:val="24"/>
              </w:rPr>
              <w:t>3</w:t>
            </w:r>
            <w:r>
              <w:rPr>
                <w:rFonts w:hint="eastAsia" w:ascii="宋体" w:hAnsi="宋体" w:cs="宋体"/>
                <w:sz w:val="24"/>
                <w:szCs w:val="24"/>
              </w:rPr>
              <w:t>分，一般</w:t>
            </w:r>
            <w:r>
              <w:rPr>
                <w:rFonts w:ascii="宋体" w:hAnsi="宋体" w:cs="宋体"/>
                <w:sz w:val="24"/>
                <w:szCs w:val="24"/>
              </w:rPr>
              <w:t>2</w:t>
            </w:r>
            <w:r>
              <w:rPr>
                <w:rFonts w:hint="eastAsia" w:ascii="宋体" w:hAnsi="宋体" w:cs="宋体"/>
                <w:sz w:val="24"/>
                <w:szCs w:val="24"/>
              </w:rPr>
              <w:t>分，未阐述0分；</w:t>
            </w:r>
          </w:p>
          <w:p w14:paraId="2463E001">
            <w:pPr>
              <w:rPr>
                <w:rFonts w:ascii="宋体" w:hAnsi="宋体" w:cs="宋体"/>
                <w:sz w:val="24"/>
                <w:szCs w:val="24"/>
              </w:rPr>
            </w:pPr>
            <w:r>
              <w:rPr>
                <w:rFonts w:hint="eastAsia" w:ascii="宋体" w:hAnsi="宋体" w:cs="宋体"/>
                <w:sz w:val="24"/>
                <w:szCs w:val="24"/>
              </w:rPr>
              <w:t>（3）</w:t>
            </w:r>
            <w:r>
              <w:rPr>
                <w:rFonts w:hint="eastAsia" w:ascii="宋体" w:hAnsi="宋体" w:cs="宋体"/>
                <w:color w:val="000000"/>
                <w:sz w:val="24"/>
                <w:szCs w:val="24"/>
              </w:rPr>
              <w:t>质疑、投诉解决方案。</w:t>
            </w:r>
            <w:r>
              <w:rPr>
                <w:rFonts w:hint="eastAsia" w:ascii="宋体" w:hAnsi="宋体" w:cs="宋体"/>
                <w:color w:val="000000"/>
                <w:kern w:val="0"/>
                <w:sz w:val="24"/>
                <w:szCs w:val="24"/>
              </w:rPr>
              <w:t>对采购活动中，供应商提出的可能影响采购活动顺利进行的质疑、投诉等情形解决方案进行评价，</w:t>
            </w:r>
            <w:r>
              <w:rPr>
                <w:rFonts w:hint="eastAsia" w:ascii="宋体" w:hAnsi="宋体" w:cs="宋体"/>
                <w:sz w:val="24"/>
                <w:szCs w:val="24"/>
              </w:rPr>
              <w:t>最优得</w:t>
            </w:r>
            <w:r>
              <w:rPr>
                <w:rFonts w:ascii="宋体" w:hAnsi="宋体" w:cs="宋体"/>
                <w:sz w:val="24"/>
                <w:szCs w:val="24"/>
              </w:rPr>
              <w:t>5</w:t>
            </w:r>
            <w:r>
              <w:rPr>
                <w:rFonts w:hint="eastAsia" w:ascii="宋体" w:hAnsi="宋体" w:cs="宋体"/>
                <w:sz w:val="24"/>
                <w:szCs w:val="24"/>
              </w:rPr>
              <w:t>分，较好</w:t>
            </w:r>
            <w:r>
              <w:rPr>
                <w:rFonts w:ascii="宋体" w:hAnsi="宋体" w:cs="宋体"/>
                <w:sz w:val="24"/>
                <w:szCs w:val="24"/>
              </w:rPr>
              <w:t>3</w:t>
            </w:r>
            <w:r>
              <w:rPr>
                <w:rFonts w:hint="eastAsia" w:ascii="宋体" w:hAnsi="宋体" w:cs="宋体"/>
                <w:sz w:val="24"/>
                <w:szCs w:val="24"/>
              </w:rPr>
              <w:t>分，一般</w:t>
            </w:r>
            <w:r>
              <w:rPr>
                <w:rFonts w:ascii="宋体" w:hAnsi="宋体" w:cs="宋体"/>
                <w:sz w:val="24"/>
                <w:szCs w:val="24"/>
              </w:rPr>
              <w:t>2</w:t>
            </w:r>
            <w:r>
              <w:rPr>
                <w:rFonts w:hint="eastAsia" w:ascii="宋体" w:hAnsi="宋体" w:cs="宋体"/>
                <w:sz w:val="24"/>
                <w:szCs w:val="24"/>
              </w:rPr>
              <w:t>分，未阐述0分。</w:t>
            </w:r>
          </w:p>
        </w:tc>
      </w:tr>
      <w:tr w14:paraId="29027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08" w:type="dxa"/>
            <w:tcBorders>
              <w:top w:val="nil"/>
            </w:tcBorders>
            <w:vAlign w:val="center"/>
          </w:tcPr>
          <w:p w14:paraId="53E69AA4">
            <w:pPr>
              <w:snapToGrid w:val="0"/>
              <w:jc w:val="center"/>
              <w:rPr>
                <w:rFonts w:ascii="宋体" w:hAnsi="宋体" w:cs="宋体"/>
                <w:sz w:val="24"/>
                <w:szCs w:val="24"/>
              </w:rPr>
            </w:pPr>
            <w:r>
              <w:rPr>
                <w:rFonts w:ascii="宋体" w:hAnsi="宋体" w:cs="宋体"/>
                <w:sz w:val="24"/>
                <w:szCs w:val="24"/>
              </w:rPr>
              <w:t>4</w:t>
            </w:r>
          </w:p>
        </w:tc>
        <w:tc>
          <w:tcPr>
            <w:tcW w:w="2152" w:type="dxa"/>
            <w:gridSpan w:val="2"/>
            <w:vAlign w:val="center"/>
          </w:tcPr>
          <w:p w14:paraId="4D8344A1">
            <w:pPr>
              <w:snapToGrid w:val="0"/>
              <w:jc w:val="center"/>
              <w:rPr>
                <w:rFonts w:ascii="宋体" w:hAnsi="宋体" w:cs="宋体"/>
                <w:sz w:val="24"/>
                <w:szCs w:val="24"/>
              </w:rPr>
            </w:pPr>
            <w:r>
              <w:rPr>
                <w:rFonts w:hint="eastAsia" w:ascii="宋体" w:hAnsi="宋体" w:cs="宋体"/>
                <w:sz w:val="24"/>
                <w:szCs w:val="24"/>
              </w:rPr>
              <w:t>总分</w:t>
            </w:r>
          </w:p>
        </w:tc>
        <w:tc>
          <w:tcPr>
            <w:tcW w:w="709" w:type="dxa"/>
            <w:vAlign w:val="center"/>
          </w:tcPr>
          <w:p w14:paraId="62F9ACF5">
            <w:pPr>
              <w:snapToGrid w:val="0"/>
              <w:jc w:val="center"/>
              <w:rPr>
                <w:rFonts w:ascii="宋体" w:hAnsi="宋体" w:cs="宋体"/>
                <w:sz w:val="24"/>
                <w:szCs w:val="24"/>
              </w:rPr>
            </w:pPr>
            <w:r>
              <w:rPr>
                <w:rFonts w:hint="eastAsia" w:ascii="宋体" w:hAnsi="宋体" w:cs="宋体"/>
                <w:sz w:val="24"/>
                <w:szCs w:val="24"/>
              </w:rPr>
              <w:t>100</w:t>
            </w:r>
          </w:p>
        </w:tc>
        <w:tc>
          <w:tcPr>
            <w:tcW w:w="5405" w:type="dxa"/>
            <w:vAlign w:val="center"/>
          </w:tcPr>
          <w:p w14:paraId="5197F393">
            <w:pPr>
              <w:snapToGrid w:val="0"/>
              <w:jc w:val="center"/>
              <w:rPr>
                <w:rFonts w:ascii="宋体" w:hAnsi="宋体" w:cs="宋体"/>
                <w:sz w:val="24"/>
                <w:szCs w:val="24"/>
              </w:rPr>
            </w:pPr>
          </w:p>
        </w:tc>
      </w:tr>
    </w:tbl>
    <w:p w14:paraId="629C0CB7"/>
    <w:p w14:paraId="455E9F41">
      <w:pPr>
        <w:spacing w:line="360" w:lineRule="auto"/>
        <w:rPr>
          <w:rFonts w:ascii="宋体" w:hAnsi="宋体"/>
          <w:b/>
          <w:strike/>
          <w:sz w:val="24"/>
          <w:szCs w:val="24"/>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A1904">
    <w:pPr>
      <w:pStyle w:val="11"/>
      <w:jc w:val="center"/>
    </w:pPr>
    <w:r>
      <w:fldChar w:fldCharType="begin"/>
    </w:r>
    <w:r>
      <w:rPr>
        <w:rStyle w:val="20"/>
      </w:rPr>
      <w:instrText xml:space="preserve"> PAGE </w:instrText>
    </w:r>
    <w:r>
      <w:fldChar w:fldCharType="separate"/>
    </w:r>
    <w:r>
      <w:rPr>
        <w:rStyle w:val="20"/>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1579B">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1</w:t>
    </w:r>
    <w:r>
      <w:fldChar w:fldCharType="end"/>
    </w:r>
  </w:p>
  <w:p w14:paraId="1A6AE240">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8113B">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11</w:t>
    </w:r>
    <w:r>
      <w:fldChar w:fldCharType="end"/>
    </w:r>
  </w:p>
  <w:p w14:paraId="1E19B2BE">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BB9F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FA894">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98079"/>
    <w:multiLevelType w:val="singleLevel"/>
    <w:tmpl w:val="BFD98079"/>
    <w:lvl w:ilvl="0" w:tentative="0">
      <w:start w:val="1"/>
      <w:numFmt w:val="decimal"/>
      <w:suff w:val="nothing"/>
      <w:lvlText w:val="（%1）"/>
      <w:lvlJc w:val="left"/>
    </w:lvl>
  </w:abstractNum>
  <w:abstractNum w:abstractNumId="1">
    <w:nsid w:val="26536F4C"/>
    <w:multiLevelType w:val="multilevel"/>
    <w:tmpl w:val="26536F4C"/>
    <w:lvl w:ilvl="0" w:tentative="0">
      <w:start w:val="1"/>
      <w:numFmt w:val="decimal"/>
      <w:lvlText w:val="%1、"/>
      <w:lvlJc w:val="left"/>
      <w:pPr>
        <w:tabs>
          <w:tab w:val="left" w:pos="720"/>
        </w:tabs>
        <w:ind w:left="720" w:hanging="720"/>
      </w:pPr>
      <w:rPr>
        <w:rFonts w:hint="default"/>
      </w:rPr>
    </w:lvl>
    <w:lvl w:ilvl="1" w:tentative="0">
      <w:start w:val="1"/>
      <w:numFmt w:val="lowerLetter"/>
      <w:pStyle w:val="32"/>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09BA2A9"/>
    <w:multiLevelType w:val="singleLevel"/>
    <w:tmpl w:val="509BA2A9"/>
    <w:lvl w:ilvl="0" w:tentative="0">
      <w:start w:val="7"/>
      <w:numFmt w:val="decimal"/>
      <w:lvlText w:val="%1."/>
      <w:lvlJc w:val="left"/>
      <w:pPr>
        <w:tabs>
          <w:tab w:val="left" w:pos="312"/>
        </w:tabs>
      </w:pPr>
    </w:lvl>
  </w:abstractNum>
  <w:abstractNum w:abstractNumId="3">
    <w:nsid w:val="52D8EF78"/>
    <w:multiLevelType w:val="singleLevel"/>
    <w:tmpl w:val="52D8EF78"/>
    <w:lvl w:ilvl="0" w:tentative="0">
      <w:start w:val="2"/>
      <w:numFmt w:val="chineseCounting"/>
      <w:suff w:val="space"/>
      <w:lvlText w:val="第%1章"/>
      <w:lvlJc w:val="left"/>
      <w:rPr>
        <w:rFonts w:hint="eastAsia"/>
      </w:rPr>
    </w:lvl>
  </w:abstractNum>
  <w:abstractNum w:abstractNumId="4">
    <w:nsid w:val="6D915EA1"/>
    <w:multiLevelType w:val="singleLevel"/>
    <w:tmpl w:val="6D915EA1"/>
    <w:lvl w:ilvl="0" w:tentative="0">
      <w:start w:val="1"/>
      <w:numFmt w:val="decimal"/>
      <w:suff w:val="nothing"/>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7A3"/>
    <w:rsid w:val="0001060B"/>
    <w:rsid w:val="00011666"/>
    <w:rsid w:val="000158F8"/>
    <w:rsid w:val="000221D0"/>
    <w:rsid w:val="00025F3E"/>
    <w:rsid w:val="00026B91"/>
    <w:rsid w:val="0004000C"/>
    <w:rsid w:val="000406E5"/>
    <w:rsid w:val="00040808"/>
    <w:rsid w:val="000440EB"/>
    <w:rsid w:val="00051E2F"/>
    <w:rsid w:val="00053C69"/>
    <w:rsid w:val="000541C6"/>
    <w:rsid w:val="00057DD1"/>
    <w:rsid w:val="000643B4"/>
    <w:rsid w:val="000656EB"/>
    <w:rsid w:val="00066FF8"/>
    <w:rsid w:val="000702D3"/>
    <w:rsid w:val="0007276B"/>
    <w:rsid w:val="00076928"/>
    <w:rsid w:val="000828C8"/>
    <w:rsid w:val="000835D4"/>
    <w:rsid w:val="0008606C"/>
    <w:rsid w:val="00086BB2"/>
    <w:rsid w:val="00086C44"/>
    <w:rsid w:val="0009186D"/>
    <w:rsid w:val="00092363"/>
    <w:rsid w:val="000A0784"/>
    <w:rsid w:val="000A15CE"/>
    <w:rsid w:val="000A34E1"/>
    <w:rsid w:val="000A460A"/>
    <w:rsid w:val="000A4EA0"/>
    <w:rsid w:val="000A6932"/>
    <w:rsid w:val="000B1ACF"/>
    <w:rsid w:val="000B483D"/>
    <w:rsid w:val="000B5E7B"/>
    <w:rsid w:val="000B6608"/>
    <w:rsid w:val="000C06EC"/>
    <w:rsid w:val="000C19F2"/>
    <w:rsid w:val="000C1BBC"/>
    <w:rsid w:val="000C35F8"/>
    <w:rsid w:val="000C72F2"/>
    <w:rsid w:val="000C7A25"/>
    <w:rsid w:val="000D4CC6"/>
    <w:rsid w:val="000D69B1"/>
    <w:rsid w:val="000D7E77"/>
    <w:rsid w:val="000E00ED"/>
    <w:rsid w:val="000E18A6"/>
    <w:rsid w:val="000F03D1"/>
    <w:rsid w:val="000F253C"/>
    <w:rsid w:val="000F2FD6"/>
    <w:rsid w:val="000F467A"/>
    <w:rsid w:val="0010469F"/>
    <w:rsid w:val="0010704D"/>
    <w:rsid w:val="001071E9"/>
    <w:rsid w:val="00111FF8"/>
    <w:rsid w:val="0011445D"/>
    <w:rsid w:val="00114ED6"/>
    <w:rsid w:val="0011602E"/>
    <w:rsid w:val="0011711D"/>
    <w:rsid w:val="00117FE8"/>
    <w:rsid w:val="00120701"/>
    <w:rsid w:val="00125C56"/>
    <w:rsid w:val="00127499"/>
    <w:rsid w:val="00130913"/>
    <w:rsid w:val="0013173D"/>
    <w:rsid w:val="00131FAA"/>
    <w:rsid w:val="00141090"/>
    <w:rsid w:val="0014213A"/>
    <w:rsid w:val="0015096D"/>
    <w:rsid w:val="00156D73"/>
    <w:rsid w:val="00157258"/>
    <w:rsid w:val="001575EC"/>
    <w:rsid w:val="00161510"/>
    <w:rsid w:val="00161EC5"/>
    <w:rsid w:val="00162D1E"/>
    <w:rsid w:val="0016689B"/>
    <w:rsid w:val="00172A27"/>
    <w:rsid w:val="00172ED4"/>
    <w:rsid w:val="001774E9"/>
    <w:rsid w:val="00184E0B"/>
    <w:rsid w:val="00185A05"/>
    <w:rsid w:val="00187032"/>
    <w:rsid w:val="001933AD"/>
    <w:rsid w:val="00193F9C"/>
    <w:rsid w:val="00196CA3"/>
    <w:rsid w:val="001A04DE"/>
    <w:rsid w:val="001A26CF"/>
    <w:rsid w:val="001A28E3"/>
    <w:rsid w:val="001A4ACE"/>
    <w:rsid w:val="001B41CD"/>
    <w:rsid w:val="001B5961"/>
    <w:rsid w:val="001C2B24"/>
    <w:rsid w:val="001C7596"/>
    <w:rsid w:val="001D30A3"/>
    <w:rsid w:val="001D5D28"/>
    <w:rsid w:val="001E0491"/>
    <w:rsid w:val="001F06A6"/>
    <w:rsid w:val="001F2856"/>
    <w:rsid w:val="001F34AB"/>
    <w:rsid w:val="001F44FE"/>
    <w:rsid w:val="001F71EF"/>
    <w:rsid w:val="001F7EA4"/>
    <w:rsid w:val="00204647"/>
    <w:rsid w:val="00220B10"/>
    <w:rsid w:val="002261A1"/>
    <w:rsid w:val="002276CF"/>
    <w:rsid w:val="00227B6A"/>
    <w:rsid w:val="00232BFD"/>
    <w:rsid w:val="00235FFB"/>
    <w:rsid w:val="002370BA"/>
    <w:rsid w:val="00240D59"/>
    <w:rsid w:val="0024300D"/>
    <w:rsid w:val="00243061"/>
    <w:rsid w:val="002452E5"/>
    <w:rsid w:val="002473E4"/>
    <w:rsid w:val="002514E2"/>
    <w:rsid w:val="002557EA"/>
    <w:rsid w:val="00255F06"/>
    <w:rsid w:val="002603E2"/>
    <w:rsid w:val="002656A5"/>
    <w:rsid w:val="00265BA3"/>
    <w:rsid w:val="0026656C"/>
    <w:rsid w:val="00266EB6"/>
    <w:rsid w:val="00275F0B"/>
    <w:rsid w:val="00280444"/>
    <w:rsid w:val="0028102C"/>
    <w:rsid w:val="00284B6C"/>
    <w:rsid w:val="002904C4"/>
    <w:rsid w:val="00290C43"/>
    <w:rsid w:val="00294562"/>
    <w:rsid w:val="00295208"/>
    <w:rsid w:val="00297795"/>
    <w:rsid w:val="002A119D"/>
    <w:rsid w:val="002A5CE0"/>
    <w:rsid w:val="002B0380"/>
    <w:rsid w:val="002C0362"/>
    <w:rsid w:val="002C0949"/>
    <w:rsid w:val="002C34BF"/>
    <w:rsid w:val="002C5F6A"/>
    <w:rsid w:val="002C6EB6"/>
    <w:rsid w:val="002D077B"/>
    <w:rsid w:val="002D2408"/>
    <w:rsid w:val="002D3B43"/>
    <w:rsid w:val="002D6D15"/>
    <w:rsid w:val="002D790C"/>
    <w:rsid w:val="002E02B0"/>
    <w:rsid w:val="002E28F8"/>
    <w:rsid w:val="002F0FB4"/>
    <w:rsid w:val="003056D8"/>
    <w:rsid w:val="00307DA8"/>
    <w:rsid w:val="003109FE"/>
    <w:rsid w:val="0031472A"/>
    <w:rsid w:val="00320FD6"/>
    <w:rsid w:val="003263F8"/>
    <w:rsid w:val="00327C2E"/>
    <w:rsid w:val="003358C1"/>
    <w:rsid w:val="00335C11"/>
    <w:rsid w:val="00337040"/>
    <w:rsid w:val="003420A2"/>
    <w:rsid w:val="0034305B"/>
    <w:rsid w:val="003453E9"/>
    <w:rsid w:val="00346F0E"/>
    <w:rsid w:val="0034749B"/>
    <w:rsid w:val="003516CD"/>
    <w:rsid w:val="003544AF"/>
    <w:rsid w:val="00354CFC"/>
    <w:rsid w:val="00355182"/>
    <w:rsid w:val="00355613"/>
    <w:rsid w:val="00356DEE"/>
    <w:rsid w:val="00360848"/>
    <w:rsid w:val="003652E2"/>
    <w:rsid w:val="003810E0"/>
    <w:rsid w:val="00383792"/>
    <w:rsid w:val="00390632"/>
    <w:rsid w:val="0039534F"/>
    <w:rsid w:val="00395407"/>
    <w:rsid w:val="00397782"/>
    <w:rsid w:val="003A0553"/>
    <w:rsid w:val="003A0CD9"/>
    <w:rsid w:val="003A25E2"/>
    <w:rsid w:val="003B31FD"/>
    <w:rsid w:val="003B6888"/>
    <w:rsid w:val="003B78A1"/>
    <w:rsid w:val="003C120E"/>
    <w:rsid w:val="003C2F55"/>
    <w:rsid w:val="003C4520"/>
    <w:rsid w:val="003D7241"/>
    <w:rsid w:val="003E2DFE"/>
    <w:rsid w:val="003E5D81"/>
    <w:rsid w:val="003E7B90"/>
    <w:rsid w:val="003F3041"/>
    <w:rsid w:val="003F3656"/>
    <w:rsid w:val="003F3D76"/>
    <w:rsid w:val="00400622"/>
    <w:rsid w:val="0040243D"/>
    <w:rsid w:val="004036F0"/>
    <w:rsid w:val="00406F1E"/>
    <w:rsid w:val="00416F1E"/>
    <w:rsid w:val="0041776F"/>
    <w:rsid w:val="00422EC2"/>
    <w:rsid w:val="00423DE5"/>
    <w:rsid w:val="004261F6"/>
    <w:rsid w:val="00430934"/>
    <w:rsid w:val="004321D6"/>
    <w:rsid w:val="004336CF"/>
    <w:rsid w:val="00434679"/>
    <w:rsid w:val="00437073"/>
    <w:rsid w:val="0043766B"/>
    <w:rsid w:val="00443189"/>
    <w:rsid w:val="00444A5F"/>
    <w:rsid w:val="00446DB0"/>
    <w:rsid w:val="00454CF6"/>
    <w:rsid w:val="004573EB"/>
    <w:rsid w:val="004650CD"/>
    <w:rsid w:val="004672AC"/>
    <w:rsid w:val="00473A98"/>
    <w:rsid w:val="00475072"/>
    <w:rsid w:val="00475157"/>
    <w:rsid w:val="00480F47"/>
    <w:rsid w:val="004830F8"/>
    <w:rsid w:val="004838F2"/>
    <w:rsid w:val="00483DD9"/>
    <w:rsid w:val="004849CE"/>
    <w:rsid w:val="0048571E"/>
    <w:rsid w:val="004916EE"/>
    <w:rsid w:val="004A0FAA"/>
    <w:rsid w:val="004A30E6"/>
    <w:rsid w:val="004A3C25"/>
    <w:rsid w:val="004C2EFD"/>
    <w:rsid w:val="004C5378"/>
    <w:rsid w:val="004C75AB"/>
    <w:rsid w:val="004D5143"/>
    <w:rsid w:val="004D5E1B"/>
    <w:rsid w:val="004D6E08"/>
    <w:rsid w:val="004D74C7"/>
    <w:rsid w:val="004E2539"/>
    <w:rsid w:val="004E3E6A"/>
    <w:rsid w:val="004E5F45"/>
    <w:rsid w:val="004E780E"/>
    <w:rsid w:val="004E78C8"/>
    <w:rsid w:val="004F7363"/>
    <w:rsid w:val="004F77C5"/>
    <w:rsid w:val="005110F0"/>
    <w:rsid w:val="00513C78"/>
    <w:rsid w:val="00515A57"/>
    <w:rsid w:val="00516CB3"/>
    <w:rsid w:val="0052238D"/>
    <w:rsid w:val="0052255F"/>
    <w:rsid w:val="005226B7"/>
    <w:rsid w:val="00525C18"/>
    <w:rsid w:val="00526329"/>
    <w:rsid w:val="005322E0"/>
    <w:rsid w:val="005361BA"/>
    <w:rsid w:val="00537B2F"/>
    <w:rsid w:val="00544134"/>
    <w:rsid w:val="00547C2D"/>
    <w:rsid w:val="00550E63"/>
    <w:rsid w:val="00551A6D"/>
    <w:rsid w:val="00561034"/>
    <w:rsid w:val="005626E2"/>
    <w:rsid w:val="00571430"/>
    <w:rsid w:val="005730F3"/>
    <w:rsid w:val="00573492"/>
    <w:rsid w:val="005829CA"/>
    <w:rsid w:val="00583C5B"/>
    <w:rsid w:val="005862AE"/>
    <w:rsid w:val="00593EA6"/>
    <w:rsid w:val="00597CD3"/>
    <w:rsid w:val="005A051E"/>
    <w:rsid w:val="005A0FD4"/>
    <w:rsid w:val="005A181B"/>
    <w:rsid w:val="005A1B08"/>
    <w:rsid w:val="005A1FCD"/>
    <w:rsid w:val="005A4571"/>
    <w:rsid w:val="005B0E00"/>
    <w:rsid w:val="005B70FB"/>
    <w:rsid w:val="005B7D18"/>
    <w:rsid w:val="005D0EFB"/>
    <w:rsid w:val="005D6818"/>
    <w:rsid w:val="005E30E6"/>
    <w:rsid w:val="005E6B86"/>
    <w:rsid w:val="005E7A0C"/>
    <w:rsid w:val="005F3962"/>
    <w:rsid w:val="005F3F03"/>
    <w:rsid w:val="005F4678"/>
    <w:rsid w:val="00602599"/>
    <w:rsid w:val="00604243"/>
    <w:rsid w:val="00605330"/>
    <w:rsid w:val="00605E91"/>
    <w:rsid w:val="00606C1C"/>
    <w:rsid w:val="0060735C"/>
    <w:rsid w:val="006130E2"/>
    <w:rsid w:val="00616625"/>
    <w:rsid w:val="006170B5"/>
    <w:rsid w:val="00617268"/>
    <w:rsid w:val="00625733"/>
    <w:rsid w:val="006268EC"/>
    <w:rsid w:val="00630F5D"/>
    <w:rsid w:val="00631D68"/>
    <w:rsid w:val="00635F81"/>
    <w:rsid w:val="00636CC0"/>
    <w:rsid w:val="0063729A"/>
    <w:rsid w:val="006406E7"/>
    <w:rsid w:val="00645F07"/>
    <w:rsid w:val="00651596"/>
    <w:rsid w:val="006520DB"/>
    <w:rsid w:val="006549F8"/>
    <w:rsid w:val="00655435"/>
    <w:rsid w:val="00660397"/>
    <w:rsid w:val="006718A3"/>
    <w:rsid w:val="00672EB2"/>
    <w:rsid w:val="0068105B"/>
    <w:rsid w:val="0068784E"/>
    <w:rsid w:val="00696A89"/>
    <w:rsid w:val="006A0497"/>
    <w:rsid w:val="006A2059"/>
    <w:rsid w:val="006A4CEC"/>
    <w:rsid w:val="006A7F55"/>
    <w:rsid w:val="006B1A8D"/>
    <w:rsid w:val="006B2158"/>
    <w:rsid w:val="006B40E0"/>
    <w:rsid w:val="006B4DBF"/>
    <w:rsid w:val="006B5B3B"/>
    <w:rsid w:val="006C2A56"/>
    <w:rsid w:val="006C4AA1"/>
    <w:rsid w:val="006C4CB8"/>
    <w:rsid w:val="006C5830"/>
    <w:rsid w:val="006D2956"/>
    <w:rsid w:val="006D2DFD"/>
    <w:rsid w:val="006D423A"/>
    <w:rsid w:val="006D4A81"/>
    <w:rsid w:val="006D608E"/>
    <w:rsid w:val="006E5BDA"/>
    <w:rsid w:val="006F0AFC"/>
    <w:rsid w:val="0070798D"/>
    <w:rsid w:val="00716F88"/>
    <w:rsid w:val="007230D1"/>
    <w:rsid w:val="00724A70"/>
    <w:rsid w:val="0072573B"/>
    <w:rsid w:val="00736D05"/>
    <w:rsid w:val="007446D2"/>
    <w:rsid w:val="00750925"/>
    <w:rsid w:val="007515A9"/>
    <w:rsid w:val="00754DF9"/>
    <w:rsid w:val="0075701F"/>
    <w:rsid w:val="00760261"/>
    <w:rsid w:val="00762191"/>
    <w:rsid w:val="00762466"/>
    <w:rsid w:val="0077064F"/>
    <w:rsid w:val="00777062"/>
    <w:rsid w:val="00782B7A"/>
    <w:rsid w:val="007863E6"/>
    <w:rsid w:val="00787548"/>
    <w:rsid w:val="007A42D5"/>
    <w:rsid w:val="007A434D"/>
    <w:rsid w:val="007A5E05"/>
    <w:rsid w:val="007A692F"/>
    <w:rsid w:val="007A7652"/>
    <w:rsid w:val="007A7E47"/>
    <w:rsid w:val="007B00F9"/>
    <w:rsid w:val="007B6D72"/>
    <w:rsid w:val="007C0BE7"/>
    <w:rsid w:val="007C1817"/>
    <w:rsid w:val="007C1EFB"/>
    <w:rsid w:val="007C4689"/>
    <w:rsid w:val="007C6359"/>
    <w:rsid w:val="007D2CC4"/>
    <w:rsid w:val="007D3539"/>
    <w:rsid w:val="007D5F2A"/>
    <w:rsid w:val="007E23CF"/>
    <w:rsid w:val="00803456"/>
    <w:rsid w:val="0080695A"/>
    <w:rsid w:val="00806CEE"/>
    <w:rsid w:val="00810278"/>
    <w:rsid w:val="008108A9"/>
    <w:rsid w:val="00810A21"/>
    <w:rsid w:val="008112E4"/>
    <w:rsid w:val="008121EC"/>
    <w:rsid w:val="00815218"/>
    <w:rsid w:val="00816184"/>
    <w:rsid w:val="00827575"/>
    <w:rsid w:val="00833B70"/>
    <w:rsid w:val="00836F32"/>
    <w:rsid w:val="00837CA0"/>
    <w:rsid w:val="00841B63"/>
    <w:rsid w:val="00841EF2"/>
    <w:rsid w:val="00845957"/>
    <w:rsid w:val="00851FA1"/>
    <w:rsid w:val="00854135"/>
    <w:rsid w:val="008541B8"/>
    <w:rsid w:val="00854952"/>
    <w:rsid w:val="00855C96"/>
    <w:rsid w:val="0086048D"/>
    <w:rsid w:val="00870B37"/>
    <w:rsid w:val="00870F33"/>
    <w:rsid w:val="00882533"/>
    <w:rsid w:val="00882F1F"/>
    <w:rsid w:val="00883E42"/>
    <w:rsid w:val="00887CEB"/>
    <w:rsid w:val="00894BBB"/>
    <w:rsid w:val="00895720"/>
    <w:rsid w:val="00895AC4"/>
    <w:rsid w:val="0089649A"/>
    <w:rsid w:val="008A4451"/>
    <w:rsid w:val="008B240B"/>
    <w:rsid w:val="008B2D38"/>
    <w:rsid w:val="008B2E2A"/>
    <w:rsid w:val="008E1E92"/>
    <w:rsid w:val="008E4997"/>
    <w:rsid w:val="008E49FB"/>
    <w:rsid w:val="008F122F"/>
    <w:rsid w:val="008F2BF4"/>
    <w:rsid w:val="00900544"/>
    <w:rsid w:val="00904100"/>
    <w:rsid w:val="009052DD"/>
    <w:rsid w:val="00906A05"/>
    <w:rsid w:val="0091303A"/>
    <w:rsid w:val="0091447E"/>
    <w:rsid w:val="00921510"/>
    <w:rsid w:val="009238DC"/>
    <w:rsid w:val="009266AC"/>
    <w:rsid w:val="00940403"/>
    <w:rsid w:val="00943B04"/>
    <w:rsid w:val="00943EE1"/>
    <w:rsid w:val="00944445"/>
    <w:rsid w:val="0095358B"/>
    <w:rsid w:val="00963874"/>
    <w:rsid w:val="00966817"/>
    <w:rsid w:val="00966B8E"/>
    <w:rsid w:val="009725C5"/>
    <w:rsid w:val="00976EE8"/>
    <w:rsid w:val="009807FC"/>
    <w:rsid w:val="0098294E"/>
    <w:rsid w:val="00987CEF"/>
    <w:rsid w:val="009920C5"/>
    <w:rsid w:val="0099261D"/>
    <w:rsid w:val="00997731"/>
    <w:rsid w:val="009A0404"/>
    <w:rsid w:val="009A40C2"/>
    <w:rsid w:val="009A5BA3"/>
    <w:rsid w:val="009B13B3"/>
    <w:rsid w:val="009B211A"/>
    <w:rsid w:val="009B3E6D"/>
    <w:rsid w:val="009C19FC"/>
    <w:rsid w:val="009C51B3"/>
    <w:rsid w:val="009D2461"/>
    <w:rsid w:val="009E216A"/>
    <w:rsid w:val="009E28C8"/>
    <w:rsid w:val="009E339C"/>
    <w:rsid w:val="009E4E11"/>
    <w:rsid w:val="009E6A0A"/>
    <w:rsid w:val="009F3A84"/>
    <w:rsid w:val="009F552E"/>
    <w:rsid w:val="009F7208"/>
    <w:rsid w:val="00A002C0"/>
    <w:rsid w:val="00A00BC6"/>
    <w:rsid w:val="00A015AA"/>
    <w:rsid w:val="00A106E5"/>
    <w:rsid w:val="00A126D1"/>
    <w:rsid w:val="00A1598D"/>
    <w:rsid w:val="00A169D3"/>
    <w:rsid w:val="00A20E2B"/>
    <w:rsid w:val="00A23232"/>
    <w:rsid w:val="00A24C2F"/>
    <w:rsid w:val="00A24F8F"/>
    <w:rsid w:val="00A309E1"/>
    <w:rsid w:val="00A30E47"/>
    <w:rsid w:val="00A3148D"/>
    <w:rsid w:val="00A3339F"/>
    <w:rsid w:val="00A34D09"/>
    <w:rsid w:val="00A35EE3"/>
    <w:rsid w:val="00A3740B"/>
    <w:rsid w:val="00A40747"/>
    <w:rsid w:val="00A44B1F"/>
    <w:rsid w:val="00A45396"/>
    <w:rsid w:val="00A47D54"/>
    <w:rsid w:val="00A47FDF"/>
    <w:rsid w:val="00A502CA"/>
    <w:rsid w:val="00A51710"/>
    <w:rsid w:val="00A60E37"/>
    <w:rsid w:val="00A65510"/>
    <w:rsid w:val="00A67B6B"/>
    <w:rsid w:val="00A762E4"/>
    <w:rsid w:val="00A860E5"/>
    <w:rsid w:val="00A87614"/>
    <w:rsid w:val="00A93656"/>
    <w:rsid w:val="00A96E93"/>
    <w:rsid w:val="00AA389C"/>
    <w:rsid w:val="00AB1FDC"/>
    <w:rsid w:val="00AB39FD"/>
    <w:rsid w:val="00AC1544"/>
    <w:rsid w:val="00AC1F11"/>
    <w:rsid w:val="00AC3C16"/>
    <w:rsid w:val="00AC5884"/>
    <w:rsid w:val="00AE1043"/>
    <w:rsid w:val="00AF0EAE"/>
    <w:rsid w:val="00AF50FE"/>
    <w:rsid w:val="00AF5221"/>
    <w:rsid w:val="00AF70C8"/>
    <w:rsid w:val="00B00F4C"/>
    <w:rsid w:val="00B01EAF"/>
    <w:rsid w:val="00B02BB6"/>
    <w:rsid w:val="00B03C2E"/>
    <w:rsid w:val="00B04465"/>
    <w:rsid w:val="00B061E2"/>
    <w:rsid w:val="00B12701"/>
    <w:rsid w:val="00B12A35"/>
    <w:rsid w:val="00B16346"/>
    <w:rsid w:val="00B1662F"/>
    <w:rsid w:val="00B20C0A"/>
    <w:rsid w:val="00B22871"/>
    <w:rsid w:val="00B23BF5"/>
    <w:rsid w:val="00B259A9"/>
    <w:rsid w:val="00B2773B"/>
    <w:rsid w:val="00B30D91"/>
    <w:rsid w:val="00B3171E"/>
    <w:rsid w:val="00B35CFC"/>
    <w:rsid w:val="00B35D48"/>
    <w:rsid w:val="00B37AAE"/>
    <w:rsid w:val="00B40777"/>
    <w:rsid w:val="00B45075"/>
    <w:rsid w:val="00B45C1B"/>
    <w:rsid w:val="00B46F33"/>
    <w:rsid w:val="00B52995"/>
    <w:rsid w:val="00B536ED"/>
    <w:rsid w:val="00B54150"/>
    <w:rsid w:val="00B63718"/>
    <w:rsid w:val="00B63A0E"/>
    <w:rsid w:val="00B6418B"/>
    <w:rsid w:val="00B700E1"/>
    <w:rsid w:val="00B74CE1"/>
    <w:rsid w:val="00B77835"/>
    <w:rsid w:val="00B8198D"/>
    <w:rsid w:val="00B8315A"/>
    <w:rsid w:val="00B84BE6"/>
    <w:rsid w:val="00B910A6"/>
    <w:rsid w:val="00B91A57"/>
    <w:rsid w:val="00B92701"/>
    <w:rsid w:val="00B9410D"/>
    <w:rsid w:val="00B95E5D"/>
    <w:rsid w:val="00BA046D"/>
    <w:rsid w:val="00BA3377"/>
    <w:rsid w:val="00BA35BB"/>
    <w:rsid w:val="00BA5F6F"/>
    <w:rsid w:val="00BB135B"/>
    <w:rsid w:val="00BB7F58"/>
    <w:rsid w:val="00BC33A4"/>
    <w:rsid w:val="00BC4FF2"/>
    <w:rsid w:val="00BC6218"/>
    <w:rsid w:val="00BC6682"/>
    <w:rsid w:val="00BD42F2"/>
    <w:rsid w:val="00BE1B43"/>
    <w:rsid w:val="00BE7EAE"/>
    <w:rsid w:val="00BF690B"/>
    <w:rsid w:val="00C011B9"/>
    <w:rsid w:val="00C04485"/>
    <w:rsid w:val="00C065D8"/>
    <w:rsid w:val="00C078C3"/>
    <w:rsid w:val="00C07B4D"/>
    <w:rsid w:val="00C07E12"/>
    <w:rsid w:val="00C10E5F"/>
    <w:rsid w:val="00C10F30"/>
    <w:rsid w:val="00C120FE"/>
    <w:rsid w:val="00C1234B"/>
    <w:rsid w:val="00C12354"/>
    <w:rsid w:val="00C13B79"/>
    <w:rsid w:val="00C14AA5"/>
    <w:rsid w:val="00C20306"/>
    <w:rsid w:val="00C2201A"/>
    <w:rsid w:val="00C23BAA"/>
    <w:rsid w:val="00C24F72"/>
    <w:rsid w:val="00C34A9E"/>
    <w:rsid w:val="00C359E3"/>
    <w:rsid w:val="00C35CBF"/>
    <w:rsid w:val="00C37962"/>
    <w:rsid w:val="00C441DD"/>
    <w:rsid w:val="00C472BD"/>
    <w:rsid w:val="00C472C1"/>
    <w:rsid w:val="00C517C2"/>
    <w:rsid w:val="00C544D5"/>
    <w:rsid w:val="00C565E6"/>
    <w:rsid w:val="00C567EE"/>
    <w:rsid w:val="00C64301"/>
    <w:rsid w:val="00C66CC6"/>
    <w:rsid w:val="00C70677"/>
    <w:rsid w:val="00C73BFA"/>
    <w:rsid w:val="00C76813"/>
    <w:rsid w:val="00C76A04"/>
    <w:rsid w:val="00C84123"/>
    <w:rsid w:val="00C94460"/>
    <w:rsid w:val="00C95E2D"/>
    <w:rsid w:val="00C973A9"/>
    <w:rsid w:val="00CA33A9"/>
    <w:rsid w:val="00CA3488"/>
    <w:rsid w:val="00CA4742"/>
    <w:rsid w:val="00CA78D4"/>
    <w:rsid w:val="00CB1B20"/>
    <w:rsid w:val="00CB223D"/>
    <w:rsid w:val="00CB2AC8"/>
    <w:rsid w:val="00CB62E2"/>
    <w:rsid w:val="00CC3467"/>
    <w:rsid w:val="00CC59CA"/>
    <w:rsid w:val="00CC5B55"/>
    <w:rsid w:val="00CC640D"/>
    <w:rsid w:val="00CD024A"/>
    <w:rsid w:val="00CD52BA"/>
    <w:rsid w:val="00CD67B1"/>
    <w:rsid w:val="00CE5370"/>
    <w:rsid w:val="00CE6D95"/>
    <w:rsid w:val="00D0390B"/>
    <w:rsid w:val="00D03AE2"/>
    <w:rsid w:val="00D03B85"/>
    <w:rsid w:val="00D04B1F"/>
    <w:rsid w:val="00D04F41"/>
    <w:rsid w:val="00D11AEA"/>
    <w:rsid w:val="00D22DAA"/>
    <w:rsid w:val="00D23D5C"/>
    <w:rsid w:val="00D31F0E"/>
    <w:rsid w:val="00D32C8B"/>
    <w:rsid w:val="00D33FFC"/>
    <w:rsid w:val="00D341CE"/>
    <w:rsid w:val="00D37FB1"/>
    <w:rsid w:val="00D406F3"/>
    <w:rsid w:val="00D41C20"/>
    <w:rsid w:val="00D44B5E"/>
    <w:rsid w:val="00D44C17"/>
    <w:rsid w:val="00D46987"/>
    <w:rsid w:val="00D51757"/>
    <w:rsid w:val="00D536AF"/>
    <w:rsid w:val="00D569F2"/>
    <w:rsid w:val="00D669B1"/>
    <w:rsid w:val="00D7029A"/>
    <w:rsid w:val="00D75C0B"/>
    <w:rsid w:val="00D77263"/>
    <w:rsid w:val="00D80166"/>
    <w:rsid w:val="00D90C2F"/>
    <w:rsid w:val="00D92481"/>
    <w:rsid w:val="00D9348C"/>
    <w:rsid w:val="00DA04BF"/>
    <w:rsid w:val="00DA4B9E"/>
    <w:rsid w:val="00DA55A3"/>
    <w:rsid w:val="00DA5710"/>
    <w:rsid w:val="00DB2039"/>
    <w:rsid w:val="00DB2DF5"/>
    <w:rsid w:val="00DB40DC"/>
    <w:rsid w:val="00DC16E0"/>
    <w:rsid w:val="00DC1D23"/>
    <w:rsid w:val="00DC2572"/>
    <w:rsid w:val="00DC3101"/>
    <w:rsid w:val="00DD0503"/>
    <w:rsid w:val="00DD7DB2"/>
    <w:rsid w:val="00DE0AF0"/>
    <w:rsid w:val="00DE3371"/>
    <w:rsid w:val="00DE7522"/>
    <w:rsid w:val="00DF0DCB"/>
    <w:rsid w:val="00DF5F3E"/>
    <w:rsid w:val="00DF7739"/>
    <w:rsid w:val="00E00679"/>
    <w:rsid w:val="00E00E18"/>
    <w:rsid w:val="00E035E2"/>
    <w:rsid w:val="00E03FDD"/>
    <w:rsid w:val="00E045EE"/>
    <w:rsid w:val="00E0660E"/>
    <w:rsid w:val="00E20982"/>
    <w:rsid w:val="00E211B6"/>
    <w:rsid w:val="00E231B6"/>
    <w:rsid w:val="00E240E5"/>
    <w:rsid w:val="00E25A8F"/>
    <w:rsid w:val="00E25C80"/>
    <w:rsid w:val="00E268B4"/>
    <w:rsid w:val="00E34482"/>
    <w:rsid w:val="00E346A7"/>
    <w:rsid w:val="00E41F48"/>
    <w:rsid w:val="00E4571F"/>
    <w:rsid w:val="00E462AB"/>
    <w:rsid w:val="00E46B8B"/>
    <w:rsid w:val="00E5304D"/>
    <w:rsid w:val="00E54810"/>
    <w:rsid w:val="00E55311"/>
    <w:rsid w:val="00E55D68"/>
    <w:rsid w:val="00E57948"/>
    <w:rsid w:val="00E619E8"/>
    <w:rsid w:val="00E65469"/>
    <w:rsid w:val="00E672AF"/>
    <w:rsid w:val="00E71287"/>
    <w:rsid w:val="00E71D77"/>
    <w:rsid w:val="00E72E64"/>
    <w:rsid w:val="00E72FD6"/>
    <w:rsid w:val="00E775CB"/>
    <w:rsid w:val="00E814C0"/>
    <w:rsid w:val="00E81B0E"/>
    <w:rsid w:val="00E83E63"/>
    <w:rsid w:val="00E851F3"/>
    <w:rsid w:val="00E86F76"/>
    <w:rsid w:val="00E87D7C"/>
    <w:rsid w:val="00E94871"/>
    <w:rsid w:val="00EA4729"/>
    <w:rsid w:val="00EA69F2"/>
    <w:rsid w:val="00EB3C5D"/>
    <w:rsid w:val="00EB5C0C"/>
    <w:rsid w:val="00EC16EA"/>
    <w:rsid w:val="00EC42AD"/>
    <w:rsid w:val="00ED203A"/>
    <w:rsid w:val="00ED5022"/>
    <w:rsid w:val="00EE1672"/>
    <w:rsid w:val="00EE74AE"/>
    <w:rsid w:val="00EF156D"/>
    <w:rsid w:val="00EF1D36"/>
    <w:rsid w:val="00F0108B"/>
    <w:rsid w:val="00F02E51"/>
    <w:rsid w:val="00F063CD"/>
    <w:rsid w:val="00F11D5E"/>
    <w:rsid w:val="00F130C0"/>
    <w:rsid w:val="00F133CF"/>
    <w:rsid w:val="00F165F6"/>
    <w:rsid w:val="00F17CF5"/>
    <w:rsid w:val="00F20DD2"/>
    <w:rsid w:val="00F23FA7"/>
    <w:rsid w:val="00F24C72"/>
    <w:rsid w:val="00F31FA9"/>
    <w:rsid w:val="00F34303"/>
    <w:rsid w:val="00F343E1"/>
    <w:rsid w:val="00F35508"/>
    <w:rsid w:val="00F47956"/>
    <w:rsid w:val="00F50A90"/>
    <w:rsid w:val="00F62E8A"/>
    <w:rsid w:val="00F735A6"/>
    <w:rsid w:val="00F748BA"/>
    <w:rsid w:val="00F8260E"/>
    <w:rsid w:val="00F83030"/>
    <w:rsid w:val="00F8518F"/>
    <w:rsid w:val="00FA0ED5"/>
    <w:rsid w:val="00FA10A0"/>
    <w:rsid w:val="00FB4E93"/>
    <w:rsid w:val="00FB61DC"/>
    <w:rsid w:val="00FC09A5"/>
    <w:rsid w:val="00FC13AA"/>
    <w:rsid w:val="00FC4F0E"/>
    <w:rsid w:val="00FC56C5"/>
    <w:rsid w:val="00FD5310"/>
    <w:rsid w:val="00FD5E3B"/>
    <w:rsid w:val="00FE3138"/>
    <w:rsid w:val="00FE4019"/>
    <w:rsid w:val="00FE4F6D"/>
    <w:rsid w:val="00FE5546"/>
    <w:rsid w:val="00FE6064"/>
    <w:rsid w:val="00FE676E"/>
    <w:rsid w:val="00FF00D7"/>
    <w:rsid w:val="00FF1F70"/>
    <w:rsid w:val="00FF4249"/>
    <w:rsid w:val="03EE6DE3"/>
    <w:rsid w:val="0AF86F5E"/>
    <w:rsid w:val="0CEE7AEC"/>
    <w:rsid w:val="1B2841DF"/>
    <w:rsid w:val="203F7881"/>
    <w:rsid w:val="20FD3A10"/>
    <w:rsid w:val="2BB55AE9"/>
    <w:rsid w:val="2D437B11"/>
    <w:rsid w:val="33E051AD"/>
    <w:rsid w:val="3DBB2DD5"/>
    <w:rsid w:val="3ECC5C0C"/>
    <w:rsid w:val="4D557244"/>
    <w:rsid w:val="4E291C3C"/>
    <w:rsid w:val="52003F26"/>
    <w:rsid w:val="55BF6AD7"/>
    <w:rsid w:val="5D08796F"/>
    <w:rsid w:val="6E022B71"/>
    <w:rsid w:val="74B01FAE"/>
    <w:rsid w:val="7A631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spacing w:line="360" w:lineRule="auto"/>
      <w:jc w:val="center"/>
      <w:outlineLvl w:val="0"/>
    </w:pPr>
    <w:rPr>
      <w:b/>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4">
    <w:name w:val="Normal Indent"/>
    <w:basedOn w:val="1"/>
    <w:link w:val="25"/>
    <w:qFormat/>
    <w:uiPriority w:val="0"/>
    <w:pPr>
      <w:ind w:firstLine="420" w:firstLineChars="200"/>
    </w:pPr>
  </w:style>
  <w:style w:type="paragraph" w:styleId="5">
    <w:name w:val="Document Map"/>
    <w:basedOn w:val="1"/>
    <w:semiHidden/>
    <w:qFormat/>
    <w:uiPriority w:val="0"/>
    <w:pPr>
      <w:shd w:val="clear" w:color="auto" w:fill="000080"/>
    </w:pPr>
  </w:style>
  <w:style w:type="paragraph" w:styleId="6">
    <w:name w:val="annotation text"/>
    <w:basedOn w:val="1"/>
    <w:semiHidden/>
    <w:qFormat/>
    <w:uiPriority w:val="0"/>
    <w:pPr>
      <w:jc w:val="left"/>
    </w:pPr>
  </w:style>
  <w:style w:type="paragraph" w:styleId="7">
    <w:name w:val="Body Text"/>
    <w:basedOn w:val="1"/>
    <w:qFormat/>
    <w:uiPriority w:val="0"/>
    <w:pPr>
      <w:spacing w:after="120"/>
    </w:pPr>
  </w:style>
  <w:style w:type="paragraph" w:styleId="8">
    <w:name w:val="Plain Text"/>
    <w:basedOn w:val="1"/>
    <w:link w:val="29"/>
    <w:qFormat/>
    <w:uiPriority w:val="0"/>
    <w:rPr>
      <w:rFonts w:ascii="宋体" w:hAnsi="Courier New"/>
      <w:szCs w:val="21"/>
    </w:rPr>
  </w:style>
  <w:style w:type="paragraph" w:styleId="9">
    <w:name w:val="Date"/>
    <w:basedOn w:val="1"/>
    <w:next w:val="1"/>
    <w:link w:val="26"/>
    <w:qFormat/>
    <w:uiPriority w:val="0"/>
    <w:pPr>
      <w:adjustRightInd w:val="0"/>
      <w:spacing w:line="360" w:lineRule="atLeast"/>
    </w:pPr>
    <w:rPr>
      <w:rFonts w:ascii="宋体"/>
      <w:kern w:val="0"/>
      <w:sz w:val="24"/>
    </w:rPr>
  </w:style>
  <w:style w:type="paragraph" w:styleId="10">
    <w:name w:val="Balloon Text"/>
    <w:basedOn w:val="1"/>
    <w:semiHidden/>
    <w:qFormat/>
    <w:uiPriority w:val="0"/>
    <w:rPr>
      <w:sz w:val="18"/>
      <w:szCs w:val="18"/>
    </w:rPr>
  </w:style>
  <w:style w:type="paragraph" w:styleId="11">
    <w:name w:val="footer"/>
    <w:basedOn w:val="1"/>
    <w:link w:val="23"/>
    <w:qFormat/>
    <w:uiPriority w:val="0"/>
    <w:pPr>
      <w:tabs>
        <w:tab w:val="center" w:pos="4153"/>
        <w:tab w:val="right" w:pos="8306"/>
      </w:tabs>
      <w:snapToGrid w:val="0"/>
      <w:jc w:val="left"/>
    </w:pPr>
    <w:rPr>
      <w:sz w:val="18"/>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pPr>
      <w:tabs>
        <w:tab w:val="right" w:leader="dot" w:pos="9174"/>
      </w:tabs>
      <w:jc w:val="center"/>
    </w:pPr>
  </w:style>
  <w:style w:type="paragraph" w:styleId="14">
    <w:name w:val="toc 2"/>
    <w:basedOn w:val="1"/>
    <w:next w:val="1"/>
    <w:qFormat/>
    <w:uiPriority w:val="39"/>
    <w:pPr>
      <w:ind w:left="420" w:leftChars="200"/>
    </w:pPr>
  </w:style>
  <w:style w:type="paragraph" w:styleId="15">
    <w:name w:val="annotation subject"/>
    <w:basedOn w:val="6"/>
    <w:next w:val="6"/>
    <w:semiHidden/>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page number"/>
    <w:basedOn w:val="18"/>
    <w:qFormat/>
    <w:uiPriority w:val="0"/>
  </w:style>
  <w:style w:type="character" w:styleId="21">
    <w:name w:val="Hyperlink"/>
    <w:qFormat/>
    <w:uiPriority w:val="99"/>
    <w:rPr>
      <w:color w:val="0000FF"/>
      <w:u w:val="single"/>
    </w:rPr>
  </w:style>
  <w:style w:type="character" w:styleId="22">
    <w:name w:val="annotation reference"/>
    <w:semiHidden/>
    <w:qFormat/>
    <w:uiPriority w:val="0"/>
    <w:rPr>
      <w:sz w:val="21"/>
      <w:szCs w:val="21"/>
    </w:rPr>
  </w:style>
  <w:style w:type="character" w:customStyle="1" w:styleId="23">
    <w:name w:val="页脚 字符"/>
    <w:link w:val="11"/>
    <w:qFormat/>
    <w:uiPriority w:val="0"/>
    <w:rPr>
      <w:kern w:val="2"/>
      <w:sz w:val="18"/>
    </w:rPr>
  </w:style>
  <w:style w:type="character" w:customStyle="1" w:styleId="24">
    <w:name w:val="纯文本 Char1"/>
    <w:semiHidden/>
    <w:qFormat/>
    <w:uiPriority w:val="99"/>
    <w:rPr>
      <w:rFonts w:ascii="宋体" w:hAnsi="Courier New" w:cs="Courier New"/>
      <w:kern w:val="2"/>
      <w:sz w:val="21"/>
      <w:szCs w:val="21"/>
    </w:rPr>
  </w:style>
  <w:style w:type="character" w:customStyle="1" w:styleId="25">
    <w:name w:val="正文缩进 字符"/>
    <w:link w:val="4"/>
    <w:qFormat/>
    <w:uiPriority w:val="0"/>
    <w:rPr>
      <w:kern w:val="2"/>
      <w:sz w:val="21"/>
    </w:rPr>
  </w:style>
  <w:style w:type="character" w:customStyle="1" w:styleId="26">
    <w:name w:val="日期 字符"/>
    <w:link w:val="9"/>
    <w:qFormat/>
    <w:uiPriority w:val="0"/>
    <w:rPr>
      <w:rFonts w:ascii="宋体"/>
      <w:sz w:val="24"/>
    </w:rPr>
  </w:style>
  <w:style w:type="character" w:customStyle="1" w:styleId="27">
    <w:name w:val="日期 Char1"/>
    <w:semiHidden/>
    <w:qFormat/>
    <w:uiPriority w:val="99"/>
    <w:rPr>
      <w:kern w:val="2"/>
      <w:sz w:val="21"/>
    </w:rPr>
  </w:style>
  <w:style w:type="character" w:customStyle="1" w:styleId="28">
    <w:name w:val="页眉 字符"/>
    <w:link w:val="12"/>
    <w:qFormat/>
    <w:uiPriority w:val="0"/>
    <w:rPr>
      <w:kern w:val="2"/>
      <w:sz w:val="18"/>
    </w:rPr>
  </w:style>
  <w:style w:type="character" w:customStyle="1" w:styleId="29">
    <w:name w:val="纯文本 字符"/>
    <w:link w:val="8"/>
    <w:qFormat/>
    <w:uiPriority w:val="0"/>
    <w:rPr>
      <w:rFonts w:ascii="宋体" w:hAnsi="Courier New"/>
      <w:kern w:val="2"/>
      <w:sz w:val="21"/>
      <w:szCs w:val="21"/>
    </w:rPr>
  </w:style>
  <w:style w:type="paragraph" w:customStyle="1" w:styleId="30">
    <w:name w:val="Char Char Char"/>
    <w:basedOn w:val="1"/>
    <w:qFormat/>
    <w:uiPriority w:val="0"/>
    <w:pPr>
      <w:spacing w:line="360" w:lineRule="auto"/>
      <w:ind w:firstLine="200" w:firstLineChars="200"/>
    </w:pPr>
    <w:rPr>
      <w:rFonts w:ascii="宋体" w:hAnsi="宋体" w:cs="宋体"/>
      <w:sz w:val="24"/>
      <w:szCs w:val="24"/>
    </w:rPr>
  </w:style>
  <w:style w:type="paragraph" w:customStyle="1" w:styleId="31">
    <w:name w:val="Char"/>
    <w:basedOn w:val="1"/>
    <w:qFormat/>
    <w:uiPriority w:val="0"/>
    <w:pPr>
      <w:spacing w:line="360" w:lineRule="auto"/>
      <w:ind w:firstLine="200" w:firstLineChars="200"/>
    </w:pPr>
    <w:rPr>
      <w:rFonts w:ascii="宋体" w:hAnsi="宋体" w:cs="宋体"/>
      <w:sz w:val="24"/>
      <w:szCs w:val="24"/>
    </w:rPr>
  </w:style>
  <w:style w:type="paragraph" w:customStyle="1" w:styleId="32">
    <w:name w:val="样式 样式 样式 标题 2 + 宋体 五号 非加粗 黑色 + 段前: 6 磅 段后: 0 磅 行距: 单倍行距 + 段前: 12..."/>
    <w:basedOn w:val="1"/>
    <w:qFormat/>
    <w:uiPriority w:val="0"/>
    <w:pPr>
      <w:keepNext/>
      <w:keepLines/>
      <w:numPr>
        <w:ilvl w:val="1"/>
        <w:numId w:val="1"/>
      </w:numPr>
      <w:tabs>
        <w:tab w:val="left" w:pos="992"/>
      </w:tabs>
      <w:adjustRightInd w:val="0"/>
      <w:spacing w:before="240"/>
      <w:ind w:left="254"/>
      <w:jc w:val="left"/>
      <w:textAlignment w:val="baseline"/>
      <w:outlineLvl w:val="1"/>
    </w:pPr>
    <w:rPr>
      <w:rFonts w:ascii="宋体" w:hAnsi="宋体" w:cs="宋体"/>
      <w:color w:val="000000"/>
      <w:kern w:val="0"/>
    </w:rPr>
  </w:style>
  <w:style w:type="paragraph" w:customStyle="1" w:styleId="33">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34">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paragraph" w:styleId="3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Company>
  <Pages>12</Pages>
  <Words>5654</Words>
  <Characters>6056</Characters>
  <Lines>55</Lines>
  <Paragraphs>15</Paragraphs>
  <TotalTime>24</TotalTime>
  <ScaleCrop>false</ScaleCrop>
  <LinksUpToDate>false</LinksUpToDate>
  <CharactersWithSpaces>6134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2026-06-02T07:51:00Z</dcterms:created>
  <dc:creator>IBM</dc:creator>
  <cp:lastModifiedBy>dzbfb</cp:lastModifiedBy>
  <cp:lastPrinted>2026-05-28T03:26:00Z</cp:lastPrinted>
  <dcterms:modified xsi:type="dcterms:W3CDTF">2026-06-11T06:23:55Z</dcterms:modified>
  <dc:title>北京汽车研究总院北京汽车产业研发基地</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eyJoZGlkIjoiNTIzOTk4NDE4NzViMzFiZDgyZTNlMzEyODVlNzc5ZTgifQ==</vt:lpwstr>
  </property>
  <property fmtid="{D5CDD505-2E9C-101B-9397-08002B2CF9AE}" pid="4" name="ICV">
    <vt:lpwstr>67A0399FE567439490D72018AFBCB3D9_13</vt:lpwstr>
  </property>
</Properties>
</file>