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3A88" w14:textId="655EB599" w:rsidR="00AC7A4C" w:rsidRPr="000001FF" w:rsidRDefault="000001FF" w:rsidP="000001FF">
      <w:pPr>
        <w:jc w:val="center"/>
        <w:rPr>
          <w:sz w:val="28"/>
          <w:szCs w:val="28"/>
        </w:rPr>
      </w:pPr>
      <w:r w:rsidRPr="000001FF">
        <w:rPr>
          <w:sz w:val="28"/>
          <w:szCs w:val="28"/>
        </w:rPr>
        <w:t>技术需求书</w:t>
      </w:r>
    </w:p>
    <w:p w14:paraId="6976738A" w14:textId="77777777" w:rsidR="000001FF" w:rsidRPr="000001FF" w:rsidRDefault="000001FF">
      <w:pPr>
        <w:rPr>
          <w:sz w:val="24"/>
          <w:szCs w:val="24"/>
        </w:rPr>
      </w:pPr>
    </w:p>
    <w:p w14:paraId="79B4CF26" w14:textId="216ED294" w:rsidR="007957C4" w:rsidRPr="00643490" w:rsidRDefault="007957C4" w:rsidP="00643490">
      <w:pPr>
        <w:pStyle w:val="ae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</w:t>
      </w:r>
      <w:r w:rsidRPr="007957C4">
        <w:rPr>
          <w:rFonts w:hint="eastAsia"/>
          <w:sz w:val="24"/>
          <w:szCs w:val="24"/>
        </w:rPr>
        <w:t>项目名称</w:t>
      </w:r>
      <w:r w:rsidR="0066266F">
        <w:rPr>
          <w:rFonts w:hint="eastAsia"/>
          <w:sz w:val="24"/>
          <w:szCs w:val="24"/>
        </w:rPr>
        <w:t>：</w:t>
      </w:r>
      <w:bookmarkStart w:id="0" w:name="OLE_LINK6"/>
      <w:proofErr w:type="gramStart"/>
      <w:r w:rsidR="008C0012">
        <w:rPr>
          <w:rFonts w:hint="eastAsia"/>
          <w:sz w:val="24"/>
          <w:szCs w:val="24"/>
        </w:rPr>
        <w:t>医保高</w:t>
      </w:r>
      <w:proofErr w:type="gramEnd"/>
      <w:r w:rsidR="008C0012">
        <w:rPr>
          <w:rFonts w:hint="eastAsia"/>
          <w:sz w:val="24"/>
          <w:szCs w:val="24"/>
        </w:rPr>
        <w:t>可用集群系统租赁</w:t>
      </w:r>
      <w:bookmarkEnd w:id="0"/>
      <w:r w:rsidR="00643490" w:rsidRPr="00643490">
        <w:rPr>
          <w:rFonts w:hint="eastAsia"/>
          <w:sz w:val="24"/>
          <w:szCs w:val="24"/>
        </w:rPr>
        <w:t>项目</w:t>
      </w:r>
    </w:p>
    <w:p w14:paraId="1DFB6B1E" w14:textId="77777777" w:rsidR="007957C4" w:rsidRPr="007957C4" w:rsidRDefault="007957C4" w:rsidP="007957C4">
      <w:pPr>
        <w:rPr>
          <w:sz w:val="24"/>
          <w:szCs w:val="24"/>
        </w:rPr>
      </w:pPr>
    </w:p>
    <w:p w14:paraId="2F482056" w14:textId="5824C0AB" w:rsidR="00643490" w:rsidRPr="009E5910" w:rsidRDefault="007957C4" w:rsidP="009E5910">
      <w:pPr>
        <w:pStyle w:val="ae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</w:t>
      </w:r>
      <w:r w:rsidR="000001FF" w:rsidRPr="007957C4">
        <w:rPr>
          <w:sz w:val="24"/>
          <w:szCs w:val="24"/>
        </w:rPr>
        <w:t>项目背景</w:t>
      </w:r>
    </w:p>
    <w:p w14:paraId="4A6567B3" w14:textId="60595BCC" w:rsidR="00643490" w:rsidRPr="00643490" w:rsidRDefault="00643490" w:rsidP="00643490">
      <w:pPr>
        <w:ind w:firstLineChars="200" w:firstLine="480"/>
        <w:rPr>
          <w:sz w:val="24"/>
          <w:szCs w:val="24"/>
        </w:rPr>
      </w:pP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保系统承担了医院全部</w:t>
      </w: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保结算业务，随着</w:t>
      </w: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保业务需求不断提出，服务器上承载的</w:t>
      </w: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保业务逐年上升、数据量也随之增长，对服务器的性能、稳定性、</w:t>
      </w: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保数据安全性、业务连续性等方面都提出了更高的要求。</w:t>
      </w:r>
      <w:r>
        <w:rPr>
          <w:rFonts w:hint="eastAsia"/>
          <w:sz w:val="24"/>
          <w:szCs w:val="24"/>
        </w:rPr>
        <w:t>医院</w:t>
      </w: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保信息系统中的主要设备使用年限已超过</w:t>
      </w:r>
      <w:r w:rsidRPr="00643490">
        <w:rPr>
          <w:rFonts w:hint="eastAsia"/>
          <w:sz w:val="24"/>
          <w:szCs w:val="24"/>
        </w:rPr>
        <w:t>8</w:t>
      </w:r>
      <w:r w:rsidRPr="00643490">
        <w:rPr>
          <w:rFonts w:hint="eastAsia"/>
          <w:sz w:val="24"/>
          <w:szCs w:val="24"/>
        </w:rPr>
        <w:t>年（</w:t>
      </w:r>
      <w:r w:rsidRPr="00643490">
        <w:rPr>
          <w:rFonts w:hint="eastAsia"/>
          <w:sz w:val="24"/>
          <w:szCs w:val="24"/>
        </w:rPr>
        <w:t>IT</w:t>
      </w:r>
      <w:r w:rsidRPr="00643490">
        <w:rPr>
          <w:rFonts w:hint="eastAsia"/>
          <w:sz w:val="24"/>
          <w:szCs w:val="24"/>
        </w:rPr>
        <w:t>设备建议</w:t>
      </w:r>
      <w:r w:rsidRPr="00643490">
        <w:rPr>
          <w:rFonts w:hint="eastAsia"/>
          <w:sz w:val="24"/>
          <w:szCs w:val="24"/>
        </w:rPr>
        <w:t>5</w:t>
      </w:r>
      <w:r w:rsidRPr="00643490">
        <w:rPr>
          <w:rFonts w:hint="eastAsia"/>
          <w:sz w:val="24"/>
          <w:szCs w:val="24"/>
        </w:rPr>
        <w:t>年使用期限）。设备老化严重导致存在一定的安全隐患。一旦出现系统故障、就会导致大批门诊患者无法正常就诊，在院滞留，形成不良社会舆情。为了保障</w:t>
      </w:r>
      <w:proofErr w:type="gramStart"/>
      <w:r w:rsidRPr="00643490">
        <w:rPr>
          <w:rFonts w:hint="eastAsia"/>
          <w:sz w:val="24"/>
          <w:szCs w:val="24"/>
        </w:rPr>
        <w:t>医</w:t>
      </w:r>
      <w:proofErr w:type="gramEnd"/>
      <w:r w:rsidRPr="00643490">
        <w:rPr>
          <w:rFonts w:hint="eastAsia"/>
          <w:sz w:val="24"/>
          <w:szCs w:val="24"/>
        </w:rPr>
        <w:t>保系统的高效、稳定运行，</w:t>
      </w:r>
      <w:r>
        <w:rPr>
          <w:rFonts w:hint="eastAsia"/>
          <w:sz w:val="24"/>
          <w:szCs w:val="24"/>
        </w:rPr>
        <w:t>需要由专业的</w:t>
      </w:r>
      <w:proofErr w:type="gramStart"/>
      <w:r>
        <w:rPr>
          <w:rFonts w:hint="eastAsia"/>
          <w:sz w:val="24"/>
          <w:szCs w:val="24"/>
        </w:rPr>
        <w:t>医</w:t>
      </w:r>
      <w:proofErr w:type="gramEnd"/>
      <w:r>
        <w:rPr>
          <w:rFonts w:hint="eastAsia"/>
          <w:sz w:val="24"/>
          <w:szCs w:val="24"/>
        </w:rPr>
        <w:t>保技术服务团队提供</w:t>
      </w:r>
      <w:bookmarkStart w:id="1" w:name="OLE_LINK7"/>
      <w:proofErr w:type="gramStart"/>
      <w:r w:rsidR="008C0012" w:rsidRPr="008C0012">
        <w:rPr>
          <w:rFonts w:hint="eastAsia"/>
          <w:sz w:val="24"/>
          <w:szCs w:val="24"/>
        </w:rPr>
        <w:t>医保高</w:t>
      </w:r>
      <w:proofErr w:type="gramEnd"/>
      <w:r w:rsidR="008C0012" w:rsidRPr="008C0012">
        <w:rPr>
          <w:rFonts w:hint="eastAsia"/>
          <w:sz w:val="24"/>
          <w:szCs w:val="24"/>
        </w:rPr>
        <w:t>可用集群系统</w:t>
      </w:r>
      <w:bookmarkEnd w:id="1"/>
      <w:r w:rsidR="008C0012" w:rsidRPr="008C0012">
        <w:rPr>
          <w:rFonts w:hint="eastAsia"/>
          <w:sz w:val="24"/>
          <w:szCs w:val="24"/>
        </w:rPr>
        <w:t>租赁</w:t>
      </w:r>
      <w:r w:rsidR="008C0012">
        <w:rPr>
          <w:rFonts w:hint="eastAsia"/>
          <w:sz w:val="24"/>
          <w:szCs w:val="24"/>
        </w:rPr>
        <w:t>服务</w:t>
      </w:r>
      <w:r w:rsidRPr="00643490">
        <w:rPr>
          <w:rFonts w:hint="eastAsia"/>
          <w:sz w:val="24"/>
          <w:szCs w:val="24"/>
        </w:rPr>
        <w:t>。</w:t>
      </w:r>
    </w:p>
    <w:p w14:paraId="00346268" w14:textId="77777777" w:rsidR="000001FF" w:rsidRPr="00BD09D7" w:rsidRDefault="000001FF">
      <w:pPr>
        <w:rPr>
          <w:sz w:val="24"/>
          <w:szCs w:val="24"/>
        </w:rPr>
      </w:pPr>
    </w:p>
    <w:p w14:paraId="5229F299" w14:textId="2B3FCCFA" w:rsidR="00643490" w:rsidRPr="009E5910" w:rsidRDefault="00580EFF" w:rsidP="009E5910">
      <w:pPr>
        <w:pStyle w:val="ae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服务范围和</w:t>
      </w:r>
      <w:r w:rsidR="00944DA0">
        <w:rPr>
          <w:sz w:val="24"/>
          <w:szCs w:val="24"/>
        </w:rPr>
        <w:t>服务</w:t>
      </w:r>
      <w:r w:rsidR="00944DA0">
        <w:rPr>
          <w:rFonts w:hint="eastAsia"/>
          <w:sz w:val="24"/>
          <w:szCs w:val="24"/>
        </w:rPr>
        <w:t>期</w:t>
      </w:r>
      <w:r w:rsidR="007957C4">
        <w:rPr>
          <w:rFonts w:hint="eastAsia"/>
          <w:sz w:val="24"/>
          <w:szCs w:val="24"/>
        </w:rPr>
        <w:t>限</w:t>
      </w:r>
    </w:p>
    <w:p w14:paraId="420B2EE4" w14:textId="5B275FA3" w:rsidR="007957C4" w:rsidRDefault="0064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服务范围：中国医学科学院北京协和医院</w:t>
      </w:r>
      <w:proofErr w:type="gramStart"/>
      <w:r w:rsidR="008C0012" w:rsidRPr="008C0012">
        <w:rPr>
          <w:rFonts w:hint="eastAsia"/>
          <w:sz w:val="24"/>
          <w:szCs w:val="24"/>
        </w:rPr>
        <w:t>医保高</w:t>
      </w:r>
      <w:proofErr w:type="gramEnd"/>
      <w:r w:rsidR="008C0012" w:rsidRPr="008C0012">
        <w:rPr>
          <w:rFonts w:hint="eastAsia"/>
          <w:sz w:val="24"/>
          <w:szCs w:val="24"/>
        </w:rPr>
        <w:t>可用集群系统</w:t>
      </w:r>
    </w:p>
    <w:p w14:paraId="7899778A" w14:textId="65CC4C3F" w:rsidR="00643490" w:rsidRDefault="0064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服务期限：</w:t>
      </w: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p w14:paraId="3B7B68CC" w14:textId="77777777" w:rsidR="00643490" w:rsidRDefault="00643490">
      <w:pPr>
        <w:rPr>
          <w:sz w:val="24"/>
          <w:szCs w:val="24"/>
        </w:rPr>
      </w:pPr>
    </w:p>
    <w:p w14:paraId="7E88A86F" w14:textId="215471CD" w:rsidR="008C0012" w:rsidRPr="009E5910" w:rsidRDefault="00580EFF" w:rsidP="008C0012">
      <w:pPr>
        <w:pStyle w:val="ae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</w:t>
      </w:r>
      <w:r w:rsidR="008938E7">
        <w:rPr>
          <w:rFonts w:hint="eastAsia"/>
          <w:sz w:val="24"/>
          <w:szCs w:val="24"/>
        </w:rPr>
        <w:t>内容和</w:t>
      </w:r>
      <w:r w:rsidR="000001FF" w:rsidRPr="000001FF">
        <w:rPr>
          <w:sz w:val="24"/>
          <w:szCs w:val="24"/>
        </w:rPr>
        <w:t>详细要求</w:t>
      </w:r>
    </w:p>
    <w:p w14:paraId="6D0B90AF" w14:textId="3C793338" w:rsidR="008C0012" w:rsidRPr="008C0012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Pr="008C0012">
        <w:rPr>
          <w:rFonts w:hint="eastAsia"/>
          <w:sz w:val="24"/>
          <w:szCs w:val="24"/>
        </w:rPr>
        <w:t>1</w:t>
      </w:r>
      <w:r w:rsidRPr="008C0012">
        <w:rPr>
          <w:rFonts w:hint="eastAsia"/>
          <w:sz w:val="24"/>
          <w:szCs w:val="24"/>
        </w:rPr>
        <w:t>）负责设备安装、联接调试、系统及数据库迁移、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保杀毒软件安装，</w:t>
      </w:r>
      <w:proofErr w:type="gramStart"/>
      <w:r w:rsidRPr="008C0012">
        <w:rPr>
          <w:rFonts w:hint="eastAsia"/>
          <w:sz w:val="24"/>
          <w:szCs w:val="24"/>
        </w:rPr>
        <w:t>医保应用</w:t>
      </w:r>
      <w:proofErr w:type="gramEnd"/>
      <w:r w:rsidRPr="008C0012">
        <w:rPr>
          <w:rFonts w:hint="eastAsia"/>
          <w:sz w:val="24"/>
          <w:szCs w:val="24"/>
        </w:rPr>
        <w:t>迁移，</w:t>
      </w:r>
      <w:proofErr w:type="gramStart"/>
      <w:r w:rsidRPr="008C0012">
        <w:rPr>
          <w:rFonts w:hint="eastAsia"/>
          <w:sz w:val="24"/>
          <w:szCs w:val="24"/>
        </w:rPr>
        <w:t>医保数据</w:t>
      </w:r>
      <w:proofErr w:type="gramEnd"/>
      <w:r w:rsidRPr="008C0012">
        <w:rPr>
          <w:rFonts w:hint="eastAsia"/>
          <w:sz w:val="24"/>
          <w:szCs w:val="24"/>
        </w:rPr>
        <w:t>迁移，</w:t>
      </w:r>
      <w:proofErr w:type="gramStart"/>
      <w:r w:rsidRPr="008C0012">
        <w:rPr>
          <w:rFonts w:hint="eastAsia"/>
          <w:sz w:val="24"/>
          <w:szCs w:val="24"/>
        </w:rPr>
        <w:t>医保访问</w:t>
      </w:r>
      <w:proofErr w:type="gramEnd"/>
      <w:r w:rsidRPr="008C0012">
        <w:rPr>
          <w:rFonts w:hint="eastAsia"/>
          <w:sz w:val="24"/>
          <w:szCs w:val="24"/>
        </w:rPr>
        <w:t>端口策略配置，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保业务测试，配置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保系统数据备份策略。</w:t>
      </w:r>
    </w:p>
    <w:p w14:paraId="6FBA6C07" w14:textId="1D2AB846" w:rsidR="008C0012" w:rsidRPr="008C0012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）负责超融合架构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保信息系统高可用集群系统相关硬件设备的架构设计、设备提供（设备产权归属乙方，使用权归属</w:t>
      </w:r>
      <w:r w:rsidR="00B61398">
        <w:rPr>
          <w:rFonts w:hint="eastAsia"/>
          <w:sz w:val="24"/>
          <w:szCs w:val="24"/>
        </w:rPr>
        <w:t>医院</w:t>
      </w:r>
      <w:r w:rsidRPr="008C0012">
        <w:rPr>
          <w:rFonts w:hint="eastAsia"/>
          <w:sz w:val="24"/>
          <w:szCs w:val="24"/>
        </w:rPr>
        <w:t>）、安装调试、系统更新、升级、故障检测及故障排除。</w:t>
      </w:r>
    </w:p>
    <w:p w14:paraId="5DCF3C75" w14:textId="77777777" w:rsidR="008C0012" w:rsidRPr="008C0012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Pr="008C0012">
        <w:rPr>
          <w:rFonts w:hint="eastAsia"/>
          <w:sz w:val="24"/>
          <w:szCs w:val="24"/>
        </w:rPr>
        <w:t>3</w:t>
      </w:r>
      <w:r w:rsidRPr="008C0012">
        <w:rPr>
          <w:rFonts w:hint="eastAsia"/>
          <w:sz w:val="24"/>
          <w:szCs w:val="24"/>
        </w:rPr>
        <w:t>）提供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保信息系统高可用集群硬件设备监控、故障检测、故障判断、故障维修服务。</w:t>
      </w:r>
    </w:p>
    <w:p w14:paraId="62B1B7A4" w14:textId="185520B8" w:rsidR="008C0012" w:rsidRPr="008C0012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="00480885">
        <w:rPr>
          <w:rFonts w:hint="eastAsia"/>
          <w:sz w:val="24"/>
          <w:szCs w:val="24"/>
        </w:rPr>
        <w:t>4</w:t>
      </w:r>
      <w:r w:rsidRPr="008C0012">
        <w:rPr>
          <w:rFonts w:hint="eastAsia"/>
          <w:sz w:val="24"/>
          <w:szCs w:val="24"/>
        </w:rPr>
        <w:t>）保障</w:t>
      </w:r>
      <w:r w:rsidR="00480885">
        <w:rPr>
          <w:rFonts w:hint="eastAsia"/>
          <w:sz w:val="24"/>
          <w:szCs w:val="24"/>
        </w:rPr>
        <w:t>医院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保信息系统硬件设备年可用性达到</w:t>
      </w:r>
      <w:r w:rsidRPr="008C0012">
        <w:rPr>
          <w:rFonts w:hint="eastAsia"/>
          <w:sz w:val="24"/>
          <w:szCs w:val="24"/>
        </w:rPr>
        <w:t>99.9%</w:t>
      </w:r>
      <w:r w:rsidRPr="008C0012">
        <w:rPr>
          <w:rFonts w:hint="eastAsia"/>
          <w:sz w:val="24"/>
          <w:szCs w:val="24"/>
        </w:rPr>
        <w:t>。</w:t>
      </w:r>
    </w:p>
    <w:p w14:paraId="56DEE81E" w14:textId="664498F3" w:rsidR="008C0012" w:rsidRPr="008C0012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="00480885">
        <w:rPr>
          <w:rFonts w:hint="eastAsia"/>
          <w:sz w:val="24"/>
          <w:szCs w:val="24"/>
        </w:rPr>
        <w:t>5</w:t>
      </w:r>
      <w:r w:rsidRPr="008C0012">
        <w:rPr>
          <w:rFonts w:hint="eastAsia"/>
          <w:sz w:val="24"/>
          <w:szCs w:val="24"/>
        </w:rPr>
        <w:t>）若发生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保信息系统集群内主、备机同时故障的情况，提供备用机。</w:t>
      </w:r>
    </w:p>
    <w:p w14:paraId="622B6052" w14:textId="64C37557" w:rsidR="008C0012" w:rsidRPr="008C0012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="00480885">
        <w:rPr>
          <w:rFonts w:hint="eastAsia"/>
          <w:sz w:val="24"/>
          <w:szCs w:val="24"/>
        </w:rPr>
        <w:t>6</w:t>
      </w:r>
      <w:r w:rsidRPr="008C0012">
        <w:rPr>
          <w:rFonts w:hint="eastAsia"/>
          <w:sz w:val="24"/>
          <w:szCs w:val="24"/>
        </w:rPr>
        <w:t>）设备配件出现问题时及时更换原厂配件。</w:t>
      </w:r>
    </w:p>
    <w:p w14:paraId="641615AE" w14:textId="6D62441F" w:rsidR="007957C4" w:rsidRDefault="008C0012" w:rsidP="008C0012">
      <w:pPr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（</w:t>
      </w:r>
      <w:r w:rsidR="00480885">
        <w:rPr>
          <w:rFonts w:hint="eastAsia"/>
          <w:sz w:val="24"/>
          <w:szCs w:val="24"/>
        </w:rPr>
        <w:t>7</w:t>
      </w:r>
      <w:r w:rsidRPr="008C0012">
        <w:rPr>
          <w:rFonts w:hint="eastAsia"/>
          <w:sz w:val="24"/>
          <w:szCs w:val="24"/>
        </w:rPr>
        <w:t>）乙方每季度提供一次信息系统硬件设备巡检服务，并出具巡检报告。</w:t>
      </w:r>
    </w:p>
    <w:p w14:paraId="70394F4E" w14:textId="57C6A7B7" w:rsidR="008C0012" w:rsidRDefault="008C0012" w:rsidP="008C001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为完成上述服务内容，需提供</w:t>
      </w:r>
      <w:r w:rsidRPr="008C0012">
        <w:rPr>
          <w:rFonts w:hint="eastAsia"/>
          <w:sz w:val="24"/>
          <w:szCs w:val="24"/>
        </w:rPr>
        <w:t>3</w:t>
      </w:r>
      <w:r w:rsidRPr="008C0012">
        <w:rPr>
          <w:rFonts w:hint="eastAsia"/>
          <w:sz w:val="24"/>
          <w:szCs w:val="24"/>
        </w:rPr>
        <w:t>台超聚变</w:t>
      </w:r>
      <w:proofErr w:type="spellStart"/>
      <w:r w:rsidRPr="008C0012">
        <w:rPr>
          <w:rFonts w:hint="eastAsia"/>
          <w:sz w:val="24"/>
          <w:szCs w:val="24"/>
        </w:rPr>
        <w:t>FusionOne</w:t>
      </w:r>
      <w:proofErr w:type="spellEnd"/>
      <w:r w:rsidRPr="008C0012">
        <w:rPr>
          <w:rFonts w:hint="eastAsia"/>
          <w:sz w:val="24"/>
          <w:szCs w:val="24"/>
        </w:rPr>
        <w:t xml:space="preserve"> HCI</w:t>
      </w:r>
      <w:r w:rsidRPr="008C0012">
        <w:rPr>
          <w:rFonts w:hint="eastAsia"/>
          <w:sz w:val="24"/>
          <w:szCs w:val="24"/>
        </w:rPr>
        <w:t>超融合节点，</w:t>
      </w:r>
      <w:r w:rsidRPr="008C0012">
        <w:rPr>
          <w:rFonts w:hint="eastAsia"/>
          <w:sz w:val="24"/>
          <w:szCs w:val="24"/>
        </w:rPr>
        <w:t>1</w:t>
      </w:r>
      <w:r w:rsidRPr="008C0012">
        <w:rPr>
          <w:rFonts w:hint="eastAsia"/>
          <w:sz w:val="24"/>
          <w:szCs w:val="24"/>
        </w:rPr>
        <w:t>台超聚变</w:t>
      </w:r>
      <w:r w:rsidRPr="008C0012">
        <w:rPr>
          <w:rFonts w:hint="eastAsia"/>
          <w:sz w:val="24"/>
          <w:szCs w:val="24"/>
        </w:rPr>
        <w:t>2288H V6</w:t>
      </w:r>
      <w:r w:rsidRPr="008C0012">
        <w:rPr>
          <w:rFonts w:hint="eastAsia"/>
          <w:sz w:val="24"/>
          <w:szCs w:val="24"/>
        </w:rPr>
        <w:t>应急服务器，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台华为</w:t>
      </w:r>
      <w:r w:rsidRPr="008C0012">
        <w:rPr>
          <w:rFonts w:hint="eastAsia"/>
          <w:sz w:val="24"/>
          <w:szCs w:val="24"/>
        </w:rPr>
        <w:t>S5731-H24T4XC</w:t>
      </w:r>
      <w:r w:rsidRPr="008C0012">
        <w:rPr>
          <w:rFonts w:hint="eastAsia"/>
          <w:sz w:val="24"/>
          <w:szCs w:val="24"/>
        </w:rPr>
        <w:t>交换机、</w:t>
      </w:r>
      <w:r w:rsidRPr="008C0012">
        <w:rPr>
          <w:rFonts w:hint="eastAsia"/>
          <w:sz w:val="24"/>
          <w:szCs w:val="24"/>
        </w:rPr>
        <w:t>1</w:t>
      </w:r>
      <w:r w:rsidRPr="008C0012">
        <w:rPr>
          <w:rFonts w:hint="eastAsia"/>
          <w:sz w:val="24"/>
          <w:szCs w:val="24"/>
        </w:rPr>
        <w:t>台超聚变</w:t>
      </w:r>
      <w:r w:rsidRPr="008C0012">
        <w:rPr>
          <w:rFonts w:hint="eastAsia"/>
          <w:sz w:val="24"/>
          <w:szCs w:val="24"/>
        </w:rPr>
        <w:t>2288H V6</w:t>
      </w:r>
      <w:proofErr w:type="gramStart"/>
      <w:r w:rsidRPr="008C0012">
        <w:rPr>
          <w:rFonts w:hint="eastAsia"/>
          <w:sz w:val="24"/>
          <w:szCs w:val="24"/>
        </w:rPr>
        <w:t>干保离线</w:t>
      </w:r>
      <w:proofErr w:type="gramEnd"/>
      <w:r w:rsidRPr="008C0012">
        <w:rPr>
          <w:rFonts w:hint="eastAsia"/>
          <w:sz w:val="24"/>
          <w:szCs w:val="24"/>
        </w:rPr>
        <w:t>服务器和</w:t>
      </w:r>
      <w:r w:rsidRPr="008C0012">
        <w:rPr>
          <w:rFonts w:hint="eastAsia"/>
          <w:sz w:val="24"/>
          <w:szCs w:val="24"/>
        </w:rPr>
        <w:t>1</w:t>
      </w:r>
      <w:r w:rsidRPr="008C0012">
        <w:rPr>
          <w:rFonts w:hint="eastAsia"/>
          <w:sz w:val="24"/>
          <w:szCs w:val="24"/>
        </w:rPr>
        <w:t>台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保冷备路由器</w:t>
      </w:r>
      <w:r>
        <w:rPr>
          <w:rFonts w:hint="eastAsia"/>
          <w:sz w:val="24"/>
          <w:szCs w:val="24"/>
        </w:rPr>
        <w:t>。具体如下。</w:t>
      </w:r>
    </w:p>
    <w:p w14:paraId="6B853B9A" w14:textId="77777777" w:rsidR="008C0012" w:rsidRPr="008C0012" w:rsidRDefault="008C0012" w:rsidP="008C0012">
      <w:pPr>
        <w:ind w:firstLineChars="200" w:firstLine="480"/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①超融合节点单台配置：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颗英特尔</w:t>
      </w:r>
      <w:r w:rsidRPr="008C0012">
        <w:rPr>
          <w:rFonts w:hint="eastAsia"/>
          <w:sz w:val="24"/>
          <w:szCs w:val="24"/>
        </w:rPr>
        <w:t xml:space="preserve"> 4314 CPU</w:t>
      </w:r>
      <w:r w:rsidRPr="008C0012">
        <w:rPr>
          <w:rFonts w:hint="eastAsia"/>
          <w:sz w:val="24"/>
          <w:szCs w:val="24"/>
        </w:rPr>
        <w:t>，</w:t>
      </w:r>
      <w:r w:rsidRPr="008C0012">
        <w:rPr>
          <w:rFonts w:hint="eastAsia"/>
          <w:sz w:val="24"/>
          <w:szCs w:val="24"/>
        </w:rPr>
        <w:t>512GB</w:t>
      </w:r>
      <w:r w:rsidRPr="008C0012">
        <w:rPr>
          <w:rFonts w:hint="eastAsia"/>
          <w:sz w:val="24"/>
          <w:szCs w:val="24"/>
        </w:rPr>
        <w:t>内存，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块固态硬盘</w:t>
      </w:r>
      <w:r w:rsidRPr="008C0012">
        <w:rPr>
          <w:rFonts w:hint="eastAsia"/>
          <w:sz w:val="24"/>
          <w:szCs w:val="24"/>
        </w:rPr>
        <w:t>480GB SATA</w:t>
      </w:r>
      <w:r w:rsidRPr="008C0012">
        <w:rPr>
          <w:rFonts w:hint="eastAsia"/>
          <w:sz w:val="24"/>
          <w:szCs w:val="24"/>
        </w:rPr>
        <w:t>系统盘，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块固态硬盘</w:t>
      </w:r>
      <w:r w:rsidRPr="008C0012">
        <w:rPr>
          <w:rFonts w:hint="eastAsia"/>
          <w:sz w:val="24"/>
          <w:szCs w:val="24"/>
        </w:rPr>
        <w:t>-1.6T NVME</w:t>
      </w:r>
      <w:r w:rsidRPr="008C0012">
        <w:rPr>
          <w:rFonts w:hint="eastAsia"/>
          <w:sz w:val="24"/>
          <w:szCs w:val="24"/>
        </w:rPr>
        <w:t>缓存硬盘，</w:t>
      </w:r>
      <w:r w:rsidRPr="008C0012">
        <w:rPr>
          <w:rFonts w:hint="eastAsia"/>
          <w:sz w:val="24"/>
          <w:szCs w:val="24"/>
        </w:rPr>
        <w:t>4</w:t>
      </w:r>
      <w:r w:rsidRPr="008C0012">
        <w:rPr>
          <w:rFonts w:hint="eastAsia"/>
          <w:sz w:val="24"/>
          <w:szCs w:val="24"/>
        </w:rPr>
        <w:t>块通用硬盘</w:t>
      </w:r>
      <w:r w:rsidRPr="008C0012">
        <w:rPr>
          <w:rFonts w:hint="eastAsia"/>
          <w:sz w:val="24"/>
          <w:szCs w:val="24"/>
        </w:rPr>
        <w:t>2.4TB 10K SAS</w:t>
      </w:r>
      <w:r w:rsidRPr="008C0012">
        <w:rPr>
          <w:rFonts w:hint="eastAsia"/>
          <w:sz w:val="24"/>
          <w:szCs w:val="24"/>
        </w:rPr>
        <w:t>数据硬盘，</w:t>
      </w:r>
      <w:r w:rsidRPr="008C0012">
        <w:rPr>
          <w:rFonts w:hint="eastAsia"/>
          <w:sz w:val="24"/>
          <w:szCs w:val="24"/>
        </w:rPr>
        <w:t>2*GE</w:t>
      </w:r>
      <w:r w:rsidRPr="008C0012">
        <w:rPr>
          <w:rFonts w:hint="eastAsia"/>
          <w:sz w:val="24"/>
          <w:szCs w:val="24"/>
        </w:rPr>
        <w:t>电口，</w:t>
      </w:r>
      <w:r w:rsidRPr="008C0012">
        <w:rPr>
          <w:rFonts w:hint="eastAsia"/>
          <w:sz w:val="24"/>
          <w:szCs w:val="24"/>
        </w:rPr>
        <w:t>4</w:t>
      </w:r>
      <w:r w:rsidRPr="008C0012">
        <w:rPr>
          <w:rFonts w:hint="eastAsia"/>
          <w:sz w:val="24"/>
          <w:szCs w:val="24"/>
        </w:rPr>
        <w:t>个万兆以太网端口（含光模块）。超融合系统管理软件，虚拟化管理软件。</w:t>
      </w:r>
    </w:p>
    <w:p w14:paraId="714C6267" w14:textId="77777777" w:rsidR="008C0012" w:rsidRPr="008C0012" w:rsidRDefault="008C0012" w:rsidP="008C0012">
      <w:pPr>
        <w:ind w:firstLineChars="200" w:firstLine="480"/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②应急服务器单台配置：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颗英特尔</w:t>
      </w:r>
      <w:r w:rsidRPr="008C0012">
        <w:rPr>
          <w:rFonts w:hint="eastAsia"/>
          <w:sz w:val="24"/>
          <w:szCs w:val="24"/>
        </w:rPr>
        <w:t>4314 CPU</w:t>
      </w:r>
      <w:r w:rsidRPr="008C0012">
        <w:rPr>
          <w:rFonts w:hint="eastAsia"/>
          <w:sz w:val="24"/>
          <w:szCs w:val="24"/>
        </w:rPr>
        <w:t>、</w:t>
      </w:r>
      <w:r w:rsidRPr="008C0012">
        <w:rPr>
          <w:rFonts w:hint="eastAsia"/>
          <w:sz w:val="24"/>
          <w:szCs w:val="24"/>
        </w:rPr>
        <w:t>256GB</w:t>
      </w:r>
      <w:r w:rsidRPr="008C0012">
        <w:rPr>
          <w:rFonts w:hint="eastAsia"/>
          <w:sz w:val="24"/>
          <w:szCs w:val="24"/>
        </w:rPr>
        <w:t>内存、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块</w:t>
      </w:r>
      <w:r w:rsidRPr="008C0012">
        <w:rPr>
          <w:rFonts w:hint="eastAsia"/>
          <w:sz w:val="24"/>
          <w:szCs w:val="24"/>
        </w:rPr>
        <w:t>480GB SATA SSD</w:t>
      </w:r>
      <w:r w:rsidRPr="008C0012">
        <w:rPr>
          <w:rFonts w:hint="eastAsia"/>
          <w:sz w:val="24"/>
          <w:szCs w:val="24"/>
        </w:rPr>
        <w:t>，</w:t>
      </w:r>
      <w:r w:rsidRPr="008C0012">
        <w:rPr>
          <w:rFonts w:hint="eastAsia"/>
          <w:sz w:val="24"/>
          <w:szCs w:val="24"/>
        </w:rPr>
        <w:t>5</w:t>
      </w:r>
      <w:r w:rsidRPr="008C0012">
        <w:rPr>
          <w:rFonts w:hint="eastAsia"/>
          <w:sz w:val="24"/>
          <w:szCs w:val="24"/>
        </w:rPr>
        <w:t>块</w:t>
      </w:r>
      <w:r w:rsidRPr="008C0012">
        <w:rPr>
          <w:rFonts w:hint="eastAsia"/>
          <w:sz w:val="24"/>
          <w:szCs w:val="24"/>
        </w:rPr>
        <w:t>1.2TB</w:t>
      </w:r>
      <w:r w:rsidRPr="008C0012">
        <w:rPr>
          <w:rFonts w:hint="eastAsia"/>
          <w:sz w:val="24"/>
          <w:szCs w:val="24"/>
        </w:rPr>
        <w:t>硬盘，</w:t>
      </w:r>
      <w:r w:rsidRPr="008C0012">
        <w:rPr>
          <w:rFonts w:hint="eastAsia"/>
          <w:sz w:val="24"/>
          <w:szCs w:val="24"/>
        </w:rPr>
        <w:t>RAID</w:t>
      </w:r>
      <w:r w:rsidRPr="008C0012">
        <w:rPr>
          <w:rFonts w:hint="eastAsia"/>
          <w:sz w:val="24"/>
          <w:szCs w:val="24"/>
        </w:rPr>
        <w:t>卡，双电源，</w:t>
      </w:r>
      <w:r w:rsidRPr="008C0012">
        <w:rPr>
          <w:rFonts w:hint="eastAsia"/>
          <w:sz w:val="24"/>
          <w:szCs w:val="24"/>
        </w:rPr>
        <w:t>4</w:t>
      </w:r>
      <w:r w:rsidRPr="008C0012">
        <w:rPr>
          <w:rFonts w:hint="eastAsia"/>
          <w:sz w:val="24"/>
          <w:szCs w:val="24"/>
        </w:rPr>
        <w:t>口网卡。</w:t>
      </w:r>
    </w:p>
    <w:p w14:paraId="1A67F325" w14:textId="77777777" w:rsidR="008C0012" w:rsidRPr="008C0012" w:rsidRDefault="008C0012" w:rsidP="008C0012">
      <w:pPr>
        <w:ind w:firstLineChars="200" w:firstLine="480"/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③交换机单台配置：</w:t>
      </w:r>
      <w:r w:rsidRPr="008C0012">
        <w:rPr>
          <w:rFonts w:hint="eastAsia"/>
          <w:sz w:val="24"/>
          <w:szCs w:val="24"/>
        </w:rPr>
        <w:t>10/100/1000BASE-T</w:t>
      </w:r>
      <w:r w:rsidRPr="008C0012">
        <w:rPr>
          <w:rFonts w:hint="eastAsia"/>
          <w:sz w:val="24"/>
          <w:szCs w:val="24"/>
        </w:rPr>
        <w:t>以太网端口</w:t>
      </w:r>
      <w:r w:rsidRPr="008C0012">
        <w:rPr>
          <w:rFonts w:hint="eastAsia"/>
          <w:sz w:val="24"/>
          <w:szCs w:val="24"/>
        </w:rPr>
        <w:t>,4*</w:t>
      </w:r>
      <w:r w:rsidRPr="008C0012">
        <w:rPr>
          <w:rFonts w:hint="eastAsia"/>
          <w:sz w:val="24"/>
          <w:szCs w:val="24"/>
        </w:rPr>
        <w:t>万兆</w:t>
      </w:r>
      <w:r w:rsidRPr="008C0012">
        <w:rPr>
          <w:rFonts w:hint="eastAsia"/>
          <w:sz w:val="24"/>
          <w:szCs w:val="24"/>
        </w:rPr>
        <w:t>SFP+</w:t>
      </w:r>
      <w:r w:rsidRPr="008C0012">
        <w:rPr>
          <w:rFonts w:hint="eastAsia"/>
          <w:sz w:val="24"/>
          <w:szCs w:val="24"/>
        </w:rPr>
        <w:t>，</w:t>
      </w:r>
      <w:r w:rsidRPr="008C0012">
        <w:rPr>
          <w:rFonts w:hint="eastAsia"/>
          <w:sz w:val="24"/>
          <w:szCs w:val="24"/>
        </w:rPr>
        <w:t>8*10GESFP+1*</w:t>
      </w:r>
      <w:r w:rsidRPr="008C0012">
        <w:rPr>
          <w:rFonts w:hint="eastAsia"/>
          <w:sz w:val="24"/>
          <w:szCs w:val="24"/>
        </w:rPr>
        <w:t>接口板，</w:t>
      </w:r>
      <w:r w:rsidRPr="008C0012">
        <w:rPr>
          <w:rFonts w:hint="eastAsia"/>
          <w:sz w:val="24"/>
          <w:szCs w:val="24"/>
        </w:rPr>
        <w:t>2*</w:t>
      </w:r>
      <w:r w:rsidRPr="008C0012">
        <w:rPr>
          <w:rFonts w:hint="eastAsia"/>
          <w:sz w:val="24"/>
          <w:szCs w:val="24"/>
        </w:rPr>
        <w:t>交流电源，</w:t>
      </w:r>
      <w:r w:rsidRPr="008C0012">
        <w:rPr>
          <w:rFonts w:hint="eastAsia"/>
          <w:sz w:val="24"/>
          <w:szCs w:val="24"/>
        </w:rPr>
        <w:t>1*</w:t>
      </w:r>
      <w:r w:rsidRPr="008C0012">
        <w:rPr>
          <w:rFonts w:hint="eastAsia"/>
          <w:sz w:val="24"/>
          <w:szCs w:val="24"/>
        </w:rPr>
        <w:t>堆叠线缆，</w:t>
      </w:r>
      <w:r w:rsidRPr="008C0012">
        <w:rPr>
          <w:rFonts w:hint="eastAsia"/>
          <w:sz w:val="24"/>
          <w:szCs w:val="24"/>
        </w:rPr>
        <w:t>12*</w:t>
      </w:r>
      <w:r w:rsidRPr="008C0012">
        <w:rPr>
          <w:rFonts w:hint="eastAsia"/>
          <w:sz w:val="24"/>
          <w:szCs w:val="24"/>
        </w:rPr>
        <w:t>万兆</w:t>
      </w:r>
      <w:proofErr w:type="gramStart"/>
      <w:r w:rsidRPr="008C0012">
        <w:rPr>
          <w:rFonts w:hint="eastAsia"/>
          <w:sz w:val="24"/>
          <w:szCs w:val="24"/>
        </w:rPr>
        <w:t>多模光模块</w:t>
      </w:r>
      <w:proofErr w:type="gramEnd"/>
      <w:r w:rsidRPr="008C0012">
        <w:rPr>
          <w:rFonts w:hint="eastAsia"/>
          <w:sz w:val="24"/>
          <w:szCs w:val="24"/>
        </w:rPr>
        <w:t>，</w:t>
      </w:r>
      <w:r w:rsidRPr="008C0012">
        <w:rPr>
          <w:rFonts w:hint="eastAsia"/>
          <w:sz w:val="24"/>
          <w:szCs w:val="24"/>
        </w:rPr>
        <w:t>12</w:t>
      </w:r>
      <w:r w:rsidRPr="008C0012">
        <w:rPr>
          <w:rFonts w:hint="eastAsia"/>
          <w:sz w:val="24"/>
          <w:szCs w:val="24"/>
        </w:rPr>
        <w:t>条光纤线。</w:t>
      </w:r>
    </w:p>
    <w:p w14:paraId="20E7914F" w14:textId="77777777" w:rsidR="008C0012" w:rsidRPr="008C0012" w:rsidRDefault="008C0012" w:rsidP="008C0012">
      <w:pPr>
        <w:ind w:firstLineChars="200" w:firstLine="480"/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④</w:t>
      </w:r>
      <w:proofErr w:type="gramStart"/>
      <w:r w:rsidRPr="008C0012">
        <w:rPr>
          <w:rFonts w:hint="eastAsia"/>
          <w:sz w:val="24"/>
          <w:szCs w:val="24"/>
        </w:rPr>
        <w:t>干保离线</w:t>
      </w:r>
      <w:proofErr w:type="gramEnd"/>
      <w:r w:rsidRPr="008C0012">
        <w:rPr>
          <w:rFonts w:hint="eastAsia"/>
          <w:sz w:val="24"/>
          <w:szCs w:val="24"/>
        </w:rPr>
        <w:t>服务器配置：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颗英特尔</w:t>
      </w:r>
      <w:r w:rsidRPr="008C0012">
        <w:rPr>
          <w:rFonts w:hint="eastAsia"/>
          <w:sz w:val="24"/>
          <w:szCs w:val="24"/>
        </w:rPr>
        <w:t>4314 CPU</w:t>
      </w:r>
      <w:r w:rsidRPr="008C0012">
        <w:rPr>
          <w:rFonts w:hint="eastAsia"/>
          <w:sz w:val="24"/>
          <w:szCs w:val="24"/>
        </w:rPr>
        <w:t>、</w:t>
      </w:r>
      <w:r w:rsidRPr="008C0012">
        <w:rPr>
          <w:rFonts w:hint="eastAsia"/>
          <w:sz w:val="24"/>
          <w:szCs w:val="24"/>
        </w:rPr>
        <w:t>64GB</w:t>
      </w:r>
      <w:r w:rsidRPr="008C0012">
        <w:rPr>
          <w:rFonts w:hint="eastAsia"/>
          <w:sz w:val="24"/>
          <w:szCs w:val="24"/>
        </w:rPr>
        <w:t>内存、</w:t>
      </w:r>
      <w:r w:rsidRPr="008C0012">
        <w:rPr>
          <w:rFonts w:hint="eastAsia"/>
          <w:sz w:val="24"/>
          <w:szCs w:val="24"/>
        </w:rPr>
        <w:t>2</w:t>
      </w:r>
      <w:r w:rsidRPr="008C0012">
        <w:rPr>
          <w:rFonts w:hint="eastAsia"/>
          <w:sz w:val="24"/>
          <w:szCs w:val="24"/>
        </w:rPr>
        <w:t>块</w:t>
      </w:r>
      <w:r w:rsidRPr="008C0012">
        <w:rPr>
          <w:rFonts w:hint="eastAsia"/>
          <w:sz w:val="24"/>
          <w:szCs w:val="24"/>
        </w:rPr>
        <w:t>2.4TB</w:t>
      </w:r>
      <w:r w:rsidRPr="008C0012">
        <w:rPr>
          <w:rFonts w:hint="eastAsia"/>
          <w:sz w:val="24"/>
          <w:szCs w:val="24"/>
        </w:rPr>
        <w:t>，硬</w:t>
      </w:r>
      <w:r w:rsidRPr="008C0012">
        <w:rPr>
          <w:rFonts w:hint="eastAsia"/>
          <w:sz w:val="24"/>
          <w:szCs w:val="24"/>
        </w:rPr>
        <w:lastRenderedPageBreak/>
        <w:t>盘，</w:t>
      </w:r>
      <w:r w:rsidRPr="008C0012">
        <w:rPr>
          <w:rFonts w:hint="eastAsia"/>
          <w:sz w:val="24"/>
          <w:szCs w:val="24"/>
        </w:rPr>
        <w:t>1</w:t>
      </w:r>
      <w:r w:rsidRPr="008C0012">
        <w:rPr>
          <w:rFonts w:hint="eastAsia"/>
          <w:sz w:val="24"/>
          <w:szCs w:val="24"/>
        </w:rPr>
        <w:t>块</w:t>
      </w:r>
      <w:r w:rsidRPr="008C0012">
        <w:rPr>
          <w:rFonts w:hint="eastAsia"/>
          <w:sz w:val="24"/>
          <w:szCs w:val="24"/>
        </w:rPr>
        <w:t>2.4TB</w:t>
      </w:r>
      <w:r w:rsidRPr="008C0012">
        <w:rPr>
          <w:rFonts w:hint="eastAsia"/>
          <w:sz w:val="24"/>
          <w:szCs w:val="24"/>
        </w:rPr>
        <w:t>备盘，双电源，</w:t>
      </w:r>
      <w:r w:rsidRPr="008C0012">
        <w:rPr>
          <w:rFonts w:hint="eastAsia"/>
          <w:sz w:val="24"/>
          <w:szCs w:val="24"/>
        </w:rPr>
        <w:t>4</w:t>
      </w:r>
      <w:r w:rsidRPr="008C0012">
        <w:rPr>
          <w:rFonts w:hint="eastAsia"/>
          <w:sz w:val="24"/>
          <w:szCs w:val="24"/>
        </w:rPr>
        <w:t>端口网卡。</w:t>
      </w:r>
    </w:p>
    <w:p w14:paraId="21627CF4" w14:textId="6EBE4662" w:rsidR="008C0012" w:rsidRDefault="008C0012" w:rsidP="008C0012">
      <w:pPr>
        <w:ind w:firstLineChars="200" w:firstLine="480"/>
        <w:rPr>
          <w:sz w:val="24"/>
          <w:szCs w:val="24"/>
        </w:rPr>
      </w:pPr>
      <w:r w:rsidRPr="008C0012">
        <w:rPr>
          <w:rFonts w:hint="eastAsia"/>
          <w:sz w:val="24"/>
          <w:szCs w:val="24"/>
        </w:rPr>
        <w:t>⑤</w:t>
      </w:r>
      <w:proofErr w:type="gramStart"/>
      <w:r w:rsidRPr="008C0012">
        <w:rPr>
          <w:rFonts w:hint="eastAsia"/>
          <w:sz w:val="24"/>
          <w:szCs w:val="24"/>
        </w:rPr>
        <w:t>医</w:t>
      </w:r>
      <w:proofErr w:type="gramEnd"/>
      <w:r w:rsidRPr="008C0012">
        <w:rPr>
          <w:rFonts w:hint="eastAsia"/>
          <w:sz w:val="24"/>
          <w:szCs w:val="24"/>
        </w:rPr>
        <w:t>保冷备路由器配置：</w:t>
      </w:r>
      <w:r w:rsidRPr="008C0012">
        <w:rPr>
          <w:rFonts w:hint="eastAsia"/>
          <w:sz w:val="24"/>
          <w:szCs w:val="24"/>
        </w:rPr>
        <w:t>3GE WAN(1GE Combo),2 USB,4 SIC,2 WSIC,1 DSP</w:t>
      </w:r>
      <w:r w:rsidRPr="008C0012">
        <w:rPr>
          <w:rFonts w:hint="eastAsia"/>
          <w:sz w:val="24"/>
          <w:szCs w:val="24"/>
        </w:rPr>
        <w:t>插槽</w:t>
      </w:r>
      <w:r w:rsidRPr="008C0012">
        <w:rPr>
          <w:rFonts w:hint="eastAsia"/>
          <w:sz w:val="24"/>
          <w:szCs w:val="24"/>
        </w:rPr>
        <w:t>,150W</w:t>
      </w:r>
      <w:r w:rsidRPr="008C0012">
        <w:rPr>
          <w:rFonts w:hint="eastAsia"/>
          <w:sz w:val="24"/>
          <w:szCs w:val="24"/>
        </w:rPr>
        <w:t>交流电源</w:t>
      </w:r>
      <w:r w:rsidRPr="008C0012">
        <w:rPr>
          <w:rFonts w:hint="eastAsia"/>
          <w:sz w:val="24"/>
          <w:szCs w:val="24"/>
        </w:rPr>
        <w:t xml:space="preserve"> 4</w:t>
      </w:r>
      <w:r w:rsidRPr="008C0012">
        <w:rPr>
          <w:rFonts w:hint="eastAsia"/>
          <w:sz w:val="24"/>
          <w:szCs w:val="24"/>
        </w:rPr>
        <w:t>端口</w:t>
      </w:r>
      <w:r w:rsidRPr="008C0012">
        <w:rPr>
          <w:rFonts w:hint="eastAsia"/>
          <w:sz w:val="24"/>
          <w:szCs w:val="24"/>
        </w:rPr>
        <w:t>1000BASE-RJ45-L2</w:t>
      </w:r>
      <w:r w:rsidRPr="008C0012">
        <w:rPr>
          <w:rFonts w:hint="eastAsia"/>
          <w:sz w:val="24"/>
          <w:szCs w:val="24"/>
        </w:rPr>
        <w:t>接口卡</w:t>
      </w:r>
      <w:r w:rsidRPr="008C0012">
        <w:rPr>
          <w:rFonts w:hint="eastAsia"/>
          <w:sz w:val="24"/>
          <w:szCs w:val="24"/>
        </w:rPr>
        <w:t>(SIC)</w:t>
      </w:r>
      <w:r w:rsidRPr="008C0012">
        <w:rPr>
          <w:rFonts w:hint="eastAsia"/>
          <w:sz w:val="24"/>
          <w:szCs w:val="24"/>
        </w:rPr>
        <w:t>。</w:t>
      </w:r>
    </w:p>
    <w:p w14:paraId="5B22E54B" w14:textId="77777777" w:rsidR="008C0012" w:rsidRPr="007957C4" w:rsidRDefault="008C0012" w:rsidP="008C0012">
      <w:pPr>
        <w:rPr>
          <w:sz w:val="24"/>
          <w:szCs w:val="24"/>
        </w:rPr>
      </w:pPr>
    </w:p>
    <w:p w14:paraId="0BBB8E53" w14:textId="5543E601" w:rsidR="00643490" w:rsidRPr="00A208F8" w:rsidRDefault="008938E7" w:rsidP="00643490">
      <w:pPr>
        <w:pStyle w:val="ae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服务人员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求</w:t>
      </w:r>
    </w:p>
    <w:p w14:paraId="1D913EC5" w14:textId="569022C2" w:rsidR="002F063B" w:rsidRPr="002F063B" w:rsidRDefault="002F063B" w:rsidP="002F063B">
      <w:pPr>
        <w:ind w:firstLineChars="200" w:firstLine="480"/>
        <w:rPr>
          <w:rFonts w:hint="eastAsia"/>
          <w:sz w:val="24"/>
          <w:szCs w:val="24"/>
        </w:rPr>
      </w:pPr>
      <w:r w:rsidRPr="002F063B">
        <w:rPr>
          <w:rFonts w:hint="eastAsia"/>
          <w:sz w:val="24"/>
          <w:szCs w:val="24"/>
        </w:rPr>
        <w:t>提供日常运维专人专线服务。需指派专门的负责人，负责维保的全面协调工作，该人员必须熟悉掌握设备的具体情况，以便维修时做到及时高效。</w:t>
      </w:r>
    </w:p>
    <w:p w14:paraId="6821D78B" w14:textId="77777777" w:rsidR="002F063B" w:rsidRPr="002F063B" w:rsidRDefault="002F063B" w:rsidP="002F063B">
      <w:pPr>
        <w:ind w:firstLineChars="200" w:firstLine="480"/>
        <w:rPr>
          <w:rFonts w:hint="eastAsia"/>
          <w:sz w:val="24"/>
          <w:szCs w:val="24"/>
        </w:rPr>
      </w:pPr>
      <w:r w:rsidRPr="002F063B">
        <w:rPr>
          <w:rFonts w:hint="eastAsia"/>
          <w:sz w:val="24"/>
          <w:szCs w:val="24"/>
        </w:rPr>
        <w:t>维保期内，提供</w:t>
      </w:r>
      <w:r w:rsidRPr="002F063B">
        <w:rPr>
          <w:rFonts w:hint="eastAsia"/>
          <w:sz w:val="24"/>
          <w:szCs w:val="24"/>
        </w:rPr>
        <w:t>7*24</w:t>
      </w:r>
      <w:r w:rsidRPr="002F063B">
        <w:rPr>
          <w:rFonts w:hint="eastAsia"/>
          <w:sz w:val="24"/>
          <w:szCs w:val="24"/>
        </w:rPr>
        <w:t>小时技术支持服务和故障报修服务热线电话，热线电话</w:t>
      </w:r>
      <w:r w:rsidRPr="002F063B">
        <w:rPr>
          <w:rFonts w:hint="eastAsia"/>
          <w:sz w:val="24"/>
          <w:szCs w:val="24"/>
        </w:rPr>
        <w:t>15</w:t>
      </w:r>
      <w:r w:rsidRPr="002F063B">
        <w:rPr>
          <w:rFonts w:hint="eastAsia"/>
          <w:sz w:val="24"/>
          <w:szCs w:val="24"/>
        </w:rPr>
        <w:t>分钟响应，特殊情况下支持上门服务。</w:t>
      </w:r>
    </w:p>
    <w:p w14:paraId="06A71A4F" w14:textId="7556D060" w:rsidR="000001FF" w:rsidRDefault="002F063B" w:rsidP="002F063B">
      <w:pPr>
        <w:ind w:firstLineChars="200" w:firstLine="480"/>
        <w:rPr>
          <w:sz w:val="24"/>
          <w:szCs w:val="24"/>
        </w:rPr>
      </w:pPr>
      <w:r w:rsidRPr="002F063B">
        <w:rPr>
          <w:rFonts w:hint="eastAsia"/>
          <w:sz w:val="24"/>
          <w:szCs w:val="24"/>
        </w:rPr>
        <w:t>在服务过程中，遵守医院的各项规章制度。</w:t>
      </w:r>
    </w:p>
    <w:p w14:paraId="7277CDE3" w14:textId="77777777" w:rsidR="002F063B" w:rsidRPr="007957C4" w:rsidRDefault="002F063B" w:rsidP="002F063B">
      <w:pPr>
        <w:ind w:firstLineChars="200" w:firstLine="480"/>
        <w:rPr>
          <w:rFonts w:hint="eastAsia"/>
          <w:sz w:val="24"/>
          <w:szCs w:val="24"/>
        </w:rPr>
      </w:pPr>
    </w:p>
    <w:p w14:paraId="1718426A" w14:textId="7D487736" w:rsidR="00000B9A" w:rsidRPr="009E5910" w:rsidRDefault="00580EFF" w:rsidP="009E5910">
      <w:pPr>
        <w:pStyle w:val="ae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</w:t>
      </w:r>
      <w:r w:rsidR="00000B9A">
        <w:rPr>
          <w:sz w:val="24"/>
          <w:szCs w:val="24"/>
        </w:rPr>
        <w:t>验收</w:t>
      </w:r>
      <w:r w:rsidR="00000B9A">
        <w:rPr>
          <w:rFonts w:hint="eastAsia"/>
          <w:sz w:val="24"/>
          <w:szCs w:val="24"/>
        </w:rPr>
        <w:t>标准</w:t>
      </w:r>
      <w:r w:rsidR="007957C4">
        <w:rPr>
          <w:rFonts w:hint="eastAsia"/>
          <w:sz w:val="24"/>
          <w:szCs w:val="24"/>
        </w:rPr>
        <w:t>、</w:t>
      </w:r>
      <w:r w:rsidR="00F9113B">
        <w:rPr>
          <w:rFonts w:hint="eastAsia"/>
          <w:sz w:val="24"/>
          <w:szCs w:val="24"/>
        </w:rPr>
        <w:t>服务</w:t>
      </w:r>
      <w:r w:rsidR="00F9113B">
        <w:rPr>
          <w:sz w:val="24"/>
          <w:szCs w:val="24"/>
        </w:rPr>
        <w:t>文档</w:t>
      </w:r>
      <w:r w:rsidR="00F9113B">
        <w:rPr>
          <w:rFonts w:hint="eastAsia"/>
          <w:sz w:val="24"/>
          <w:szCs w:val="24"/>
        </w:rPr>
        <w:t>要</w:t>
      </w:r>
      <w:r w:rsidR="00F9113B">
        <w:rPr>
          <w:sz w:val="24"/>
          <w:szCs w:val="24"/>
        </w:rPr>
        <w:t>求</w:t>
      </w:r>
      <w:r w:rsidR="007957C4">
        <w:rPr>
          <w:rFonts w:hint="eastAsia"/>
          <w:sz w:val="24"/>
          <w:szCs w:val="24"/>
        </w:rPr>
        <w:t>和罚则</w:t>
      </w:r>
    </w:p>
    <w:tbl>
      <w:tblPr>
        <w:tblpPr w:leftFromText="180" w:rightFromText="180" w:vertAnchor="text" w:horzAnchor="margin" w:tblpXSpec="center" w:tblpY="274"/>
        <w:tblW w:w="5721" w:type="pct"/>
        <w:tblLook w:val="04A0" w:firstRow="1" w:lastRow="0" w:firstColumn="1" w:lastColumn="0" w:noHBand="0" w:noVBand="1"/>
      </w:tblPr>
      <w:tblGrid>
        <w:gridCol w:w="1551"/>
        <w:gridCol w:w="708"/>
        <w:gridCol w:w="5245"/>
        <w:gridCol w:w="710"/>
        <w:gridCol w:w="1278"/>
      </w:tblGrid>
      <w:tr w:rsidR="00A208F8" w:rsidRPr="008C0012" w14:paraId="79A40A30" w14:textId="77777777" w:rsidTr="00A208F8">
        <w:trPr>
          <w:trHeight w:val="401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FBC0" w14:textId="77777777" w:rsidR="008C0012" w:rsidRPr="008C0012" w:rsidRDefault="008C0012" w:rsidP="00B61398">
            <w:pPr>
              <w:jc w:val="center"/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评价指标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C8F7" w14:textId="77777777" w:rsidR="008C0012" w:rsidRPr="008C0012" w:rsidRDefault="008C0012" w:rsidP="00B61398">
            <w:pPr>
              <w:jc w:val="center"/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23A" w14:textId="77777777" w:rsidR="008C0012" w:rsidRPr="008C0012" w:rsidRDefault="008C0012" w:rsidP="00B61398">
            <w:pPr>
              <w:jc w:val="center"/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考核项目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36B5" w14:textId="77777777" w:rsidR="008C0012" w:rsidRPr="008C0012" w:rsidRDefault="008C0012" w:rsidP="00B61398">
            <w:pPr>
              <w:jc w:val="center"/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得分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9D36" w14:textId="77777777" w:rsidR="008C0012" w:rsidRPr="008C0012" w:rsidRDefault="008C0012" w:rsidP="00B61398">
            <w:pPr>
              <w:jc w:val="center"/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详细描述</w:t>
            </w:r>
          </w:p>
        </w:tc>
      </w:tr>
      <w:tr w:rsidR="00A208F8" w:rsidRPr="008C0012" w14:paraId="32D8F14A" w14:textId="77777777" w:rsidTr="00A208F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0FA" w14:textId="1D220FBD" w:rsidR="004B562F" w:rsidRPr="008C0012" w:rsidRDefault="004B562F" w:rsidP="008C00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设备数量规格参数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377" w14:textId="5481B16E" w:rsidR="004B562F" w:rsidRPr="008C0012" w:rsidRDefault="004B562F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D49B" w14:textId="77D3051A" w:rsidR="004B562F" w:rsidRPr="008C0012" w:rsidRDefault="004B562F" w:rsidP="008C00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数量一致，规格参数符合要求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191F" w14:textId="7B595CF5" w:rsidR="004B562F" w:rsidRPr="008C0012" w:rsidRDefault="004B562F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099CB" w14:textId="77777777" w:rsidR="004B562F" w:rsidRPr="008C0012" w:rsidRDefault="004B562F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4FEDE10E" w14:textId="77777777" w:rsidTr="00A208F8">
        <w:trPr>
          <w:trHeight w:val="2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DCDA8B" w14:textId="3570809B" w:rsidR="004B562F" w:rsidRDefault="009E5910" w:rsidP="008C0012">
            <w:pPr>
              <w:rPr>
                <w:sz w:val="24"/>
                <w:szCs w:val="24"/>
              </w:rPr>
            </w:pPr>
            <w:bookmarkStart w:id="2" w:name="OLE_LINK16"/>
            <w:r>
              <w:rPr>
                <w:rFonts w:hint="eastAsia"/>
                <w:sz w:val="24"/>
                <w:szCs w:val="24"/>
              </w:rPr>
              <w:t>建设、迁移、</w:t>
            </w:r>
            <w:r w:rsidR="004B562F">
              <w:rPr>
                <w:rFonts w:hint="eastAsia"/>
                <w:sz w:val="24"/>
                <w:szCs w:val="24"/>
              </w:rPr>
              <w:t>实施及</w:t>
            </w:r>
            <w:r>
              <w:rPr>
                <w:rFonts w:hint="eastAsia"/>
                <w:sz w:val="24"/>
                <w:szCs w:val="24"/>
              </w:rPr>
              <w:t>应急保障</w:t>
            </w:r>
            <w:r w:rsidR="004B562F">
              <w:rPr>
                <w:rFonts w:hint="eastAsia"/>
                <w:sz w:val="24"/>
                <w:szCs w:val="24"/>
              </w:rPr>
              <w:t>工作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B8CA3B" w14:textId="594F07A2" w:rsidR="004B562F" w:rsidRDefault="004B562F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1B11" w14:textId="48BC453F" w:rsidR="004B562F" w:rsidRDefault="004B562F" w:rsidP="004B562F">
            <w:pPr>
              <w:rPr>
                <w:sz w:val="24"/>
                <w:szCs w:val="24"/>
              </w:rPr>
            </w:pPr>
            <w:r w:rsidRPr="004B562F">
              <w:rPr>
                <w:rFonts w:hint="eastAsia"/>
                <w:sz w:val="24"/>
                <w:szCs w:val="24"/>
              </w:rPr>
              <w:t>建设方案</w:t>
            </w:r>
            <w:bookmarkStart w:id="3" w:name="OLE_LINK17"/>
            <w:r w:rsidRPr="004B562F">
              <w:rPr>
                <w:rFonts w:hint="eastAsia"/>
                <w:sz w:val="24"/>
                <w:szCs w:val="24"/>
              </w:rPr>
              <w:t>内容全面、明确重点，详细合理、针对性强</w:t>
            </w:r>
            <w:bookmarkEnd w:id="3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28A7" w14:textId="54A9F69B" w:rsidR="004B562F" w:rsidRDefault="009E5910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6178" w14:textId="77777777" w:rsidR="004B562F" w:rsidRPr="008C0012" w:rsidRDefault="004B562F" w:rsidP="008C0012">
            <w:pPr>
              <w:rPr>
                <w:sz w:val="24"/>
                <w:szCs w:val="24"/>
              </w:rPr>
            </w:pPr>
          </w:p>
        </w:tc>
      </w:tr>
      <w:bookmarkEnd w:id="2"/>
      <w:tr w:rsidR="00A208F8" w:rsidRPr="008C0012" w14:paraId="6CE2CABA" w14:textId="77777777" w:rsidTr="00A208F8">
        <w:trPr>
          <w:trHeight w:val="20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A712" w14:textId="77777777" w:rsidR="004B562F" w:rsidRDefault="004B562F" w:rsidP="008C0012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0DB9" w14:textId="77777777" w:rsidR="004B562F" w:rsidRDefault="004B562F" w:rsidP="00FE4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1DD0" w14:textId="5696A543" w:rsidR="004B562F" w:rsidRPr="004B562F" w:rsidRDefault="004B562F" w:rsidP="004B562F">
            <w:pPr>
              <w:rPr>
                <w:sz w:val="24"/>
                <w:szCs w:val="24"/>
              </w:rPr>
            </w:pPr>
            <w:r w:rsidRPr="004B562F">
              <w:rPr>
                <w:rFonts w:hint="eastAsia"/>
                <w:sz w:val="24"/>
                <w:szCs w:val="24"/>
              </w:rPr>
              <w:t>迁移方案</w:t>
            </w:r>
            <w:bookmarkStart w:id="4" w:name="OLE_LINK18"/>
            <w:r w:rsidRPr="004B562F">
              <w:rPr>
                <w:rFonts w:hint="eastAsia"/>
                <w:sz w:val="24"/>
                <w:szCs w:val="24"/>
              </w:rPr>
              <w:t>内容全面、明确重点，详细合理、针对性强、</w:t>
            </w:r>
            <w:r w:rsidR="009E5910">
              <w:rPr>
                <w:rFonts w:hint="eastAsia"/>
                <w:sz w:val="24"/>
                <w:szCs w:val="24"/>
              </w:rPr>
              <w:t>符合医院实际情况</w:t>
            </w:r>
            <w:bookmarkEnd w:id="4"/>
            <w:r w:rsidR="009E5910" w:rsidRPr="004B562F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A9D3" w14:textId="5369289E" w:rsidR="004B562F" w:rsidRDefault="009E5910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E7C1" w14:textId="77777777" w:rsidR="004B562F" w:rsidRPr="008C0012" w:rsidRDefault="004B562F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459E02CA" w14:textId="77777777" w:rsidTr="00A208F8">
        <w:trPr>
          <w:trHeight w:val="20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4F9A" w14:textId="77777777" w:rsidR="004B562F" w:rsidRDefault="004B562F" w:rsidP="008C0012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7EEA" w14:textId="77777777" w:rsidR="004B562F" w:rsidRDefault="004B562F" w:rsidP="00FE4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CB26" w14:textId="415A69C7" w:rsidR="004B562F" w:rsidRDefault="004B562F" w:rsidP="004B562F">
            <w:pPr>
              <w:rPr>
                <w:sz w:val="24"/>
                <w:szCs w:val="24"/>
              </w:rPr>
            </w:pPr>
            <w:r w:rsidRPr="004B562F">
              <w:rPr>
                <w:rFonts w:hint="eastAsia"/>
                <w:sz w:val="24"/>
                <w:szCs w:val="24"/>
              </w:rPr>
              <w:t>实施方案内容全面、明确重点，详细合理、针对性强，技术措施可靠、有保障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3943" w14:textId="5DA27021" w:rsidR="004B562F" w:rsidRDefault="009E5910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98B9E" w14:textId="77777777" w:rsidR="004B562F" w:rsidRPr="008C0012" w:rsidRDefault="004B562F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3AE151D0" w14:textId="77777777" w:rsidTr="00A208F8">
        <w:trPr>
          <w:trHeight w:val="20"/>
        </w:trPr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68B" w14:textId="77777777" w:rsidR="004B562F" w:rsidRDefault="004B562F" w:rsidP="008C0012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B38" w14:textId="77777777" w:rsidR="004B562F" w:rsidRDefault="004B562F" w:rsidP="00FE4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FA13" w14:textId="0411D91B" w:rsidR="004B562F" w:rsidRDefault="004B562F" w:rsidP="004B562F">
            <w:pPr>
              <w:rPr>
                <w:sz w:val="24"/>
                <w:szCs w:val="24"/>
              </w:rPr>
            </w:pPr>
            <w:proofErr w:type="gramStart"/>
            <w:r w:rsidRPr="004B562F">
              <w:rPr>
                <w:rFonts w:hint="eastAsia"/>
                <w:sz w:val="24"/>
                <w:szCs w:val="24"/>
              </w:rPr>
              <w:t>医</w:t>
            </w:r>
            <w:proofErr w:type="gramEnd"/>
            <w:r w:rsidRPr="004B562F">
              <w:rPr>
                <w:rFonts w:hint="eastAsia"/>
                <w:sz w:val="24"/>
                <w:szCs w:val="24"/>
              </w:rPr>
              <w:t>保系统应急服务方案</w:t>
            </w:r>
            <w:r w:rsidR="009E5910">
              <w:rPr>
                <w:rFonts w:hint="eastAsia"/>
                <w:sz w:val="24"/>
                <w:szCs w:val="24"/>
              </w:rPr>
              <w:t>响应时间及时、保障措施合理严谨、处理时间较短、能有效规避相关风险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96B9" w14:textId="18B40686" w:rsidR="004B562F" w:rsidRDefault="009E5910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E1FA8" w14:textId="77777777" w:rsidR="004B562F" w:rsidRPr="008C0012" w:rsidRDefault="004B562F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1A270DFB" w14:textId="77777777" w:rsidTr="00A208F8">
        <w:trPr>
          <w:trHeight w:val="2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D105" w14:textId="77777777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服务及时性及解决率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70C8" w14:textId="3B9008DE" w:rsidR="008C0012" w:rsidRPr="008C0012" w:rsidRDefault="004B562F" w:rsidP="00FE4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C0012" w:rsidRPr="008C0012">
              <w:rPr>
                <w:sz w:val="24"/>
                <w:szCs w:val="24"/>
              </w:rPr>
              <w:t>0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277" w14:textId="77777777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电话服务及时性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86B5" w14:textId="77777777" w:rsidR="008C0012" w:rsidRPr="008C0012" w:rsidRDefault="008C0012" w:rsidP="00FE4204">
            <w:pPr>
              <w:jc w:val="center"/>
              <w:rPr>
                <w:sz w:val="24"/>
                <w:szCs w:val="24"/>
              </w:rPr>
            </w:pPr>
            <w:r w:rsidRPr="008C0012">
              <w:rPr>
                <w:sz w:val="24"/>
                <w:szCs w:val="24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1A1C0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35CF5F9C" w14:textId="77777777" w:rsidTr="00A208F8">
        <w:trPr>
          <w:trHeight w:val="2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66F0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DCA2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E55B" w14:textId="77777777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现场服务及时性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97DF" w14:textId="77777777" w:rsidR="008C0012" w:rsidRPr="008C0012" w:rsidRDefault="008C0012" w:rsidP="00FE4204">
            <w:pPr>
              <w:jc w:val="center"/>
              <w:rPr>
                <w:sz w:val="24"/>
                <w:szCs w:val="24"/>
              </w:rPr>
            </w:pPr>
            <w:r w:rsidRPr="008C0012">
              <w:rPr>
                <w:sz w:val="24"/>
                <w:szCs w:val="24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841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2C1E3CB2" w14:textId="77777777" w:rsidTr="00A208F8">
        <w:trPr>
          <w:trHeight w:val="20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501" w14:textId="301468DA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安全监控</w:t>
            </w:r>
            <w:r w:rsidR="009E5910">
              <w:rPr>
                <w:rFonts w:hint="eastAsia"/>
                <w:sz w:val="24"/>
                <w:szCs w:val="24"/>
              </w:rPr>
              <w:t>及巡检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F7BA" w14:textId="208E58B5" w:rsidR="008C0012" w:rsidRPr="008C0012" w:rsidRDefault="009E5910" w:rsidP="00783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8C0012" w:rsidRPr="008C0012">
              <w:rPr>
                <w:sz w:val="24"/>
                <w:szCs w:val="24"/>
              </w:rPr>
              <w:t>0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7588" w14:textId="4F052339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远程实时监控</w:t>
            </w:r>
            <w:r w:rsidR="00FE4204">
              <w:rPr>
                <w:rFonts w:hint="eastAsia"/>
                <w:sz w:val="24"/>
                <w:szCs w:val="24"/>
              </w:rPr>
              <w:t>硬件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CFE0" w14:textId="14D44083" w:rsidR="008C0012" w:rsidRPr="008C0012" w:rsidRDefault="009E5910" w:rsidP="00783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CAC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</w:tr>
      <w:tr w:rsidR="00A208F8" w:rsidRPr="008C0012" w14:paraId="0BFDFFF3" w14:textId="77777777" w:rsidTr="00A208F8">
        <w:trPr>
          <w:trHeight w:val="20"/>
        </w:trPr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ABBC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3937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DEBB" w14:textId="629A988C" w:rsidR="008C0012" w:rsidRPr="008C0012" w:rsidRDefault="009E5910" w:rsidP="008C00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定期巡检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6734" w14:textId="68148B08" w:rsidR="008C0012" w:rsidRPr="008C0012" w:rsidRDefault="009E5910" w:rsidP="00783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35E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</w:tc>
      </w:tr>
      <w:tr w:rsidR="008C0012" w:rsidRPr="008C0012" w14:paraId="701A937B" w14:textId="77777777" w:rsidTr="00A208F8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B5BE" w14:textId="77777777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总得分</w:t>
            </w:r>
          </w:p>
        </w:tc>
        <w:tc>
          <w:tcPr>
            <w:tcW w:w="4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0CB" w14:textId="0344A765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sz w:val="24"/>
                <w:szCs w:val="24"/>
              </w:rPr>
              <w:t xml:space="preserve"> </w:t>
            </w:r>
            <w:r w:rsidR="00A208F8">
              <w:rPr>
                <w:rFonts w:hint="eastAsia"/>
                <w:sz w:val="24"/>
                <w:szCs w:val="24"/>
              </w:rPr>
              <w:t xml:space="preserve">    </w:t>
            </w:r>
            <w:r w:rsidR="00376357">
              <w:rPr>
                <w:rFonts w:hint="eastAsia"/>
                <w:sz w:val="24"/>
                <w:szCs w:val="24"/>
              </w:rPr>
              <w:t xml:space="preserve"> </w:t>
            </w:r>
            <w:r w:rsidRPr="008C0012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C0012" w:rsidRPr="008C0012" w14:paraId="228C5ED6" w14:textId="77777777" w:rsidTr="00A208F8">
        <w:trPr>
          <w:trHeight w:val="561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8B9B6" w14:textId="77777777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信息处主管人员</w:t>
            </w:r>
          </w:p>
        </w:tc>
        <w:tc>
          <w:tcPr>
            <w:tcW w:w="418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967D6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  <w:p w14:paraId="25B16C16" w14:textId="460E8361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签</w:t>
            </w:r>
            <w:r w:rsidRPr="008C0012">
              <w:rPr>
                <w:sz w:val="24"/>
                <w:szCs w:val="24"/>
              </w:rPr>
              <w:t xml:space="preserve"> </w:t>
            </w:r>
            <w:r w:rsidRPr="008C0012">
              <w:rPr>
                <w:rFonts w:hint="eastAsia"/>
                <w:sz w:val="24"/>
                <w:szCs w:val="24"/>
              </w:rPr>
              <w:t>名：</w:t>
            </w:r>
            <w:r w:rsidRPr="008C0012">
              <w:rPr>
                <w:sz w:val="24"/>
                <w:szCs w:val="24"/>
              </w:rPr>
              <w:t xml:space="preserve">                                   </w:t>
            </w:r>
            <w:r w:rsidRPr="008C0012">
              <w:rPr>
                <w:rFonts w:hint="eastAsia"/>
                <w:sz w:val="24"/>
                <w:szCs w:val="24"/>
              </w:rPr>
              <w:t>年</w:t>
            </w:r>
            <w:r w:rsidRPr="008C0012">
              <w:rPr>
                <w:sz w:val="24"/>
                <w:szCs w:val="24"/>
              </w:rPr>
              <w:t xml:space="preserve">   </w:t>
            </w:r>
            <w:r w:rsidRPr="008C0012">
              <w:rPr>
                <w:rFonts w:hint="eastAsia"/>
                <w:sz w:val="24"/>
                <w:szCs w:val="24"/>
              </w:rPr>
              <w:t>月</w:t>
            </w:r>
            <w:r w:rsidRPr="008C0012">
              <w:rPr>
                <w:sz w:val="24"/>
                <w:szCs w:val="24"/>
              </w:rPr>
              <w:t xml:space="preserve">   </w:t>
            </w:r>
            <w:r w:rsidRPr="008C001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C0012" w:rsidRPr="008C0012" w14:paraId="644E19B4" w14:textId="77777777" w:rsidTr="00A208F8">
        <w:trPr>
          <w:trHeight w:val="342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FF38" w14:textId="77777777" w:rsidR="008C0012" w:rsidRPr="008C0012" w:rsidRDefault="008C0012" w:rsidP="008C0012">
            <w:pPr>
              <w:rPr>
                <w:sz w:val="24"/>
                <w:szCs w:val="24"/>
              </w:rPr>
            </w:pPr>
            <w:proofErr w:type="gramStart"/>
            <w:r w:rsidRPr="008C0012">
              <w:rPr>
                <w:rFonts w:hint="eastAsia"/>
                <w:sz w:val="24"/>
                <w:szCs w:val="24"/>
              </w:rPr>
              <w:t>医</w:t>
            </w:r>
            <w:proofErr w:type="gramEnd"/>
            <w:r w:rsidRPr="008C0012">
              <w:rPr>
                <w:rFonts w:hint="eastAsia"/>
                <w:sz w:val="24"/>
                <w:szCs w:val="24"/>
              </w:rPr>
              <w:t>保</w:t>
            </w:r>
            <w:proofErr w:type="gramStart"/>
            <w:r w:rsidRPr="008C0012">
              <w:rPr>
                <w:rFonts w:hint="eastAsia"/>
                <w:sz w:val="24"/>
                <w:szCs w:val="24"/>
              </w:rPr>
              <w:t>办主管</w:t>
            </w:r>
            <w:proofErr w:type="gramEnd"/>
            <w:r w:rsidRPr="008C0012"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4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127D" w14:textId="77777777" w:rsidR="008C0012" w:rsidRPr="008C0012" w:rsidRDefault="008C0012" w:rsidP="008C0012">
            <w:pPr>
              <w:rPr>
                <w:sz w:val="24"/>
                <w:szCs w:val="24"/>
              </w:rPr>
            </w:pPr>
          </w:p>
          <w:p w14:paraId="49FC04B9" w14:textId="06A72D12" w:rsidR="008C0012" w:rsidRPr="008C0012" w:rsidRDefault="008C0012" w:rsidP="008C0012">
            <w:pPr>
              <w:rPr>
                <w:sz w:val="24"/>
                <w:szCs w:val="24"/>
              </w:rPr>
            </w:pPr>
            <w:r w:rsidRPr="008C0012">
              <w:rPr>
                <w:rFonts w:hint="eastAsia"/>
                <w:sz w:val="24"/>
                <w:szCs w:val="24"/>
              </w:rPr>
              <w:t>签</w:t>
            </w:r>
            <w:r w:rsidRPr="008C0012">
              <w:rPr>
                <w:sz w:val="24"/>
                <w:szCs w:val="24"/>
              </w:rPr>
              <w:t xml:space="preserve"> </w:t>
            </w:r>
            <w:r w:rsidRPr="008C0012">
              <w:rPr>
                <w:rFonts w:hint="eastAsia"/>
                <w:sz w:val="24"/>
                <w:szCs w:val="24"/>
              </w:rPr>
              <w:t>名：</w:t>
            </w:r>
            <w:r w:rsidRPr="008C0012">
              <w:rPr>
                <w:sz w:val="24"/>
                <w:szCs w:val="24"/>
              </w:rPr>
              <w:t xml:space="preserve">                                   </w:t>
            </w:r>
            <w:r w:rsidRPr="008C0012">
              <w:rPr>
                <w:rFonts w:hint="eastAsia"/>
                <w:sz w:val="24"/>
                <w:szCs w:val="24"/>
              </w:rPr>
              <w:t>年</w:t>
            </w:r>
            <w:r w:rsidRPr="008C0012">
              <w:rPr>
                <w:sz w:val="24"/>
                <w:szCs w:val="24"/>
              </w:rPr>
              <w:t xml:space="preserve">   </w:t>
            </w:r>
            <w:r w:rsidRPr="008C0012">
              <w:rPr>
                <w:rFonts w:hint="eastAsia"/>
                <w:sz w:val="24"/>
                <w:szCs w:val="24"/>
              </w:rPr>
              <w:t>月</w:t>
            </w:r>
            <w:r w:rsidRPr="008C0012">
              <w:rPr>
                <w:sz w:val="24"/>
                <w:szCs w:val="24"/>
              </w:rPr>
              <w:t xml:space="preserve">   </w:t>
            </w:r>
            <w:r w:rsidRPr="008C001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A487F56" w14:textId="77777777" w:rsidR="008C0012" w:rsidRPr="007957C4" w:rsidRDefault="008C0012" w:rsidP="00A208F8">
      <w:pPr>
        <w:rPr>
          <w:sz w:val="24"/>
          <w:szCs w:val="24"/>
        </w:rPr>
      </w:pPr>
    </w:p>
    <w:sectPr w:rsidR="008C0012" w:rsidRPr="0079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DBF3" w14:textId="77777777" w:rsidR="003B18D9" w:rsidRDefault="003B18D9" w:rsidP="002D0628">
      <w:r>
        <w:separator/>
      </w:r>
    </w:p>
  </w:endnote>
  <w:endnote w:type="continuationSeparator" w:id="0">
    <w:p w14:paraId="0C7B452B" w14:textId="77777777" w:rsidR="003B18D9" w:rsidRDefault="003B18D9" w:rsidP="002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9748" w14:textId="77777777" w:rsidR="003B18D9" w:rsidRDefault="003B18D9" w:rsidP="002D0628">
      <w:r>
        <w:separator/>
      </w:r>
    </w:p>
  </w:footnote>
  <w:footnote w:type="continuationSeparator" w:id="0">
    <w:p w14:paraId="7BC26FFD" w14:textId="77777777" w:rsidR="003B18D9" w:rsidRDefault="003B18D9" w:rsidP="002D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B7607"/>
    <w:multiLevelType w:val="hybridMultilevel"/>
    <w:tmpl w:val="12C09A60"/>
    <w:lvl w:ilvl="0" w:tplc="BBA4FAE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95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35"/>
    <w:rsid w:val="000001FF"/>
    <w:rsid w:val="00000B9A"/>
    <w:rsid w:val="000402D0"/>
    <w:rsid w:val="00142C83"/>
    <w:rsid w:val="00183664"/>
    <w:rsid w:val="002D0628"/>
    <w:rsid w:val="002F063B"/>
    <w:rsid w:val="00376357"/>
    <w:rsid w:val="003803D6"/>
    <w:rsid w:val="003B18D9"/>
    <w:rsid w:val="00414361"/>
    <w:rsid w:val="00480885"/>
    <w:rsid w:val="004B562F"/>
    <w:rsid w:val="004D5E9E"/>
    <w:rsid w:val="00540162"/>
    <w:rsid w:val="00580EFF"/>
    <w:rsid w:val="005816B5"/>
    <w:rsid w:val="00587DB4"/>
    <w:rsid w:val="00643490"/>
    <w:rsid w:val="00661DFD"/>
    <w:rsid w:val="0066266F"/>
    <w:rsid w:val="00692FD6"/>
    <w:rsid w:val="00783AD5"/>
    <w:rsid w:val="007957C4"/>
    <w:rsid w:val="00823DE0"/>
    <w:rsid w:val="008938E7"/>
    <w:rsid w:val="008C0012"/>
    <w:rsid w:val="00944DA0"/>
    <w:rsid w:val="009E5910"/>
    <w:rsid w:val="00A208F8"/>
    <w:rsid w:val="00A23DA9"/>
    <w:rsid w:val="00AC7A4C"/>
    <w:rsid w:val="00AF640A"/>
    <w:rsid w:val="00B61398"/>
    <w:rsid w:val="00BD09D7"/>
    <w:rsid w:val="00C8762F"/>
    <w:rsid w:val="00CF19E2"/>
    <w:rsid w:val="00E27535"/>
    <w:rsid w:val="00E85666"/>
    <w:rsid w:val="00F805D3"/>
    <w:rsid w:val="00F9113B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29437"/>
  <w15:chartTrackingRefBased/>
  <w15:docId w15:val="{79825CE3-45C3-4D5B-9488-98D44C21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62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566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566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5666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566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566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566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85666"/>
    <w:rPr>
      <w:sz w:val="18"/>
      <w:szCs w:val="18"/>
    </w:rPr>
  </w:style>
  <w:style w:type="paragraph" w:styleId="ae">
    <w:name w:val="List Paragraph"/>
    <w:basedOn w:val="a"/>
    <w:uiPriority w:val="34"/>
    <w:qFormat/>
    <w:rsid w:val="00795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许燕</dc:creator>
  <cp:keywords/>
  <dc:description/>
  <cp:lastModifiedBy>琦 张</cp:lastModifiedBy>
  <cp:revision>29</cp:revision>
  <dcterms:created xsi:type="dcterms:W3CDTF">2022-08-11T08:34:00Z</dcterms:created>
  <dcterms:modified xsi:type="dcterms:W3CDTF">2026-03-04T05:51:00Z</dcterms:modified>
</cp:coreProperties>
</file>