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92F34">
      <w:pPr>
        <w:jc w:val="center"/>
        <w:rPr>
          <w:rFonts w:ascii="宋体" w:hAnsi="宋体"/>
          <w:sz w:val="36"/>
          <w:szCs w:val="36"/>
        </w:rPr>
      </w:pPr>
    </w:p>
    <w:p w14:paraId="057FA49B">
      <w:pPr>
        <w:jc w:val="center"/>
        <w:rPr>
          <w:rFonts w:ascii="宋体" w:hAnsi="宋体"/>
          <w:b/>
          <w:sz w:val="48"/>
          <w:szCs w:val="48"/>
        </w:rPr>
      </w:pPr>
      <w:r>
        <w:rPr>
          <w:rFonts w:hint="eastAsia" w:ascii="宋体" w:hAnsi="宋体"/>
          <w:b/>
          <w:sz w:val="48"/>
          <w:szCs w:val="48"/>
        </w:rPr>
        <w:t>北京协和医院工程材料</w:t>
      </w:r>
      <w:r>
        <w:rPr>
          <w:rFonts w:ascii="宋体" w:hAnsi="宋体"/>
          <w:b/>
          <w:sz w:val="48"/>
          <w:szCs w:val="48"/>
        </w:rPr>
        <w:t>检测</w:t>
      </w:r>
      <w:r>
        <w:rPr>
          <w:rFonts w:hint="eastAsia" w:ascii="宋体" w:hAnsi="宋体"/>
          <w:b/>
          <w:sz w:val="48"/>
          <w:szCs w:val="48"/>
        </w:rPr>
        <w:t>项目</w:t>
      </w:r>
    </w:p>
    <w:p w14:paraId="534C9F05">
      <w:pPr>
        <w:jc w:val="center"/>
        <w:rPr>
          <w:rFonts w:ascii="宋体" w:hAnsi="宋体"/>
          <w:b/>
          <w:sz w:val="32"/>
          <w:szCs w:val="32"/>
        </w:rPr>
      </w:pPr>
      <w:r>
        <w:rPr>
          <w:rFonts w:hint="eastAsia" w:ascii="宋体" w:hAnsi="宋体"/>
          <w:b/>
          <w:sz w:val="48"/>
          <w:szCs w:val="48"/>
        </w:rPr>
        <w:t>（2</w:t>
      </w:r>
      <w:r>
        <w:rPr>
          <w:rFonts w:ascii="宋体" w:hAnsi="宋体"/>
          <w:b/>
          <w:sz w:val="48"/>
          <w:szCs w:val="48"/>
        </w:rPr>
        <w:t>024-2025</w:t>
      </w:r>
      <w:r>
        <w:rPr>
          <w:rFonts w:hint="eastAsia" w:ascii="宋体" w:hAnsi="宋体"/>
          <w:b/>
          <w:sz w:val="48"/>
          <w:szCs w:val="48"/>
        </w:rPr>
        <w:t>年）</w:t>
      </w:r>
    </w:p>
    <w:p w14:paraId="2E5F852F">
      <w:pPr>
        <w:jc w:val="center"/>
        <w:rPr>
          <w:rFonts w:ascii="宋体" w:hAnsi="宋体"/>
          <w:b/>
          <w:sz w:val="32"/>
          <w:szCs w:val="32"/>
        </w:rPr>
      </w:pPr>
    </w:p>
    <w:p w14:paraId="59FA0B5D">
      <w:pPr>
        <w:jc w:val="center"/>
        <w:rPr>
          <w:rFonts w:ascii="宋体" w:hAnsi="宋体"/>
          <w:b/>
          <w:sz w:val="32"/>
          <w:szCs w:val="32"/>
        </w:rPr>
      </w:pPr>
    </w:p>
    <w:p w14:paraId="79793A95">
      <w:pPr>
        <w:jc w:val="center"/>
        <w:rPr>
          <w:rFonts w:ascii="宋体" w:hAnsi="宋体"/>
          <w:b/>
          <w:sz w:val="32"/>
          <w:szCs w:val="32"/>
        </w:rPr>
      </w:pPr>
    </w:p>
    <w:p w14:paraId="338F0FA9">
      <w:pPr>
        <w:jc w:val="center"/>
        <w:rPr>
          <w:rFonts w:ascii="宋体" w:hAnsi="宋体"/>
          <w:b/>
          <w:sz w:val="72"/>
          <w:szCs w:val="72"/>
        </w:rPr>
      </w:pPr>
      <w:r>
        <w:rPr>
          <w:rFonts w:hint="eastAsia" w:ascii="宋体" w:hAnsi="宋体"/>
          <w:b/>
          <w:sz w:val="72"/>
          <w:szCs w:val="72"/>
        </w:rPr>
        <w:t>比价文件</w:t>
      </w:r>
    </w:p>
    <w:p w14:paraId="15ABF102">
      <w:pPr>
        <w:jc w:val="center"/>
        <w:rPr>
          <w:rFonts w:ascii="宋体" w:hAnsi="宋体"/>
          <w:b/>
          <w:sz w:val="32"/>
          <w:szCs w:val="32"/>
        </w:rPr>
      </w:pPr>
    </w:p>
    <w:p w14:paraId="217FC3E5">
      <w:pPr>
        <w:jc w:val="center"/>
        <w:rPr>
          <w:rFonts w:ascii="宋体" w:hAnsi="宋体"/>
          <w:b/>
          <w:sz w:val="32"/>
          <w:szCs w:val="32"/>
        </w:rPr>
      </w:pPr>
    </w:p>
    <w:p w14:paraId="7A052974">
      <w:pPr>
        <w:jc w:val="center"/>
        <w:rPr>
          <w:rFonts w:ascii="宋体" w:hAnsi="宋体"/>
          <w:b/>
          <w:sz w:val="32"/>
          <w:szCs w:val="32"/>
        </w:rPr>
      </w:pPr>
    </w:p>
    <w:p w14:paraId="67F19A1D">
      <w:pPr>
        <w:jc w:val="center"/>
        <w:rPr>
          <w:rFonts w:ascii="宋体" w:hAnsi="宋体"/>
          <w:b/>
          <w:sz w:val="32"/>
          <w:szCs w:val="32"/>
        </w:rPr>
      </w:pPr>
    </w:p>
    <w:p w14:paraId="58D6A025">
      <w:pPr>
        <w:jc w:val="center"/>
        <w:rPr>
          <w:rFonts w:ascii="宋体" w:hAnsi="宋体"/>
          <w:b/>
          <w:sz w:val="32"/>
          <w:szCs w:val="32"/>
        </w:rPr>
      </w:pPr>
    </w:p>
    <w:p w14:paraId="5B0CF49D">
      <w:pPr>
        <w:jc w:val="center"/>
        <w:rPr>
          <w:rFonts w:ascii="宋体" w:hAnsi="宋体"/>
          <w:b/>
          <w:sz w:val="32"/>
          <w:szCs w:val="32"/>
        </w:rPr>
      </w:pPr>
    </w:p>
    <w:p w14:paraId="09656B52">
      <w:pPr>
        <w:jc w:val="center"/>
        <w:rPr>
          <w:rFonts w:ascii="宋体" w:hAnsi="宋体"/>
          <w:b/>
          <w:sz w:val="32"/>
          <w:szCs w:val="32"/>
        </w:rPr>
      </w:pPr>
    </w:p>
    <w:p w14:paraId="241B0BF6">
      <w:pPr>
        <w:jc w:val="center"/>
        <w:rPr>
          <w:rFonts w:ascii="宋体" w:hAnsi="宋体"/>
          <w:b/>
          <w:sz w:val="32"/>
          <w:szCs w:val="32"/>
        </w:rPr>
      </w:pPr>
    </w:p>
    <w:p w14:paraId="3D2775BF">
      <w:pPr>
        <w:jc w:val="center"/>
        <w:rPr>
          <w:rFonts w:ascii="宋体" w:hAnsi="宋体"/>
          <w:b/>
          <w:sz w:val="32"/>
          <w:szCs w:val="32"/>
        </w:rPr>
      </w:pPr>
    </w:p>
    <w:p w14:paraId="1F750538">
      <w:pPr>
        <w:jc w:val="center"/>
        <w:rPr>
          <w:rFonts w:ascii="宋体" w:hAnsi="宋体"/>
          <w:b/>
          <w:sz w:val="32"/>
          <w:szCs w:val="32"/>
        </w:rPr>
      </w:pPr>
    </w:p>
    <w:p w14:paraId="6FDD2854">
      <w:pPr>
        <w:jc w:val="center"/>
        <w:rPr>
          <w:rFonts w:ascii="宋体" w:hAnsi="宋体"/>
          <w:b/>
          <w:sz w:val="32"/>
          <w:szCs w:val="32"/>
        </w:rPr>
      </w:pPr>
    </w:p>
    <w:p w14:paraId="07F0BF39">
      <w:pPr>
        <w:jc w:val="center"/>
        <w:rPr>
          <w:rFonts w:ascii="宋体" w:hAnsi="宋体"/>
          <w:b/>
          <w:sz w:val="32"/>
          <w:szCs w:val="32"/>
        </w:rPr>
      </w:pPr>
    </w:p>
    <w:p w14:paraId="5FC9F7B5">
      <w:pPr>
        <w:jc w:val="center"/>
        <w:rPr>
          <w:rFonts w:ascii="宋体" w:hAnsi="宋体"/>
          <w:b/>
          <w:sz w:val="32"/>
          <w:szCs w:val="32"/>
        </w:rPr>
      </w:pPr>
    </w:p>
    <w:p w14:paraId="354F420D">
      <w:pPr>
        <w:spacing w:line="480" w:lineRule="auto"/>
        <w:ind w:firstLine="1593" w:firstLineChars="496"/>
        <w:jc w:val="left"/>
        <w:rPr>
          <w:rFonts w:ascii="宋体" w:hAnsi="宋体"/>
          <w:b/>
          <w:sz w:val="32"/>
          <w:szCs w:val="32"/>
        </w:rPr>
      </w:pPr>
      <w:r>
        <w:rPr>
          <w:rFonts w:hint="eastAsia" w:ascii="宋体" w:hAnsi="宋体"/>
          <w:b/>
          <w:sz w:val="32"/>
          <w:szCs w:val="32"/>
        </w:rPr>
        <w:t>招标人：中国医学科学院北京</w:t>
      </w:r>
      <w:r>
        <w:rPr>
          <w:rFonts w:ascii="宋体" w:hAnsi="宋体"/>
          <w:b/>
          <w:sz w:val="32"/>
          <w:szCs w:val="32"/>
        </w:rPr>
        <w:t>协和医院</w:t>
      </w:r>
    </w:p>
    <w:p w14:paraId="1B01B882">
      <w:pPr>
        <w:snapToGrid w:val="0"/>
        <w:spacing w:line="360" w:lineRule="auto"/>
        <w:jc w:val="center"/>
        <w:rPr>
          <w:rFonts w:ascii="宋体" w:hAnsi="宋体" w:cs="宋体"/>
          <w:b/>
          <w:bCs/>
          <w:sz w:val="32"/>
          <w:szCs w:val="32"/>
        </w:rPr>
      </w:pPr>
      <w:r>
        <w:rPr>
          <w:rFonts w:ascii="宋体" w:hAnsi="宋体"/>
          <w:b/>
          <w:sz w:val="32"/>
          <w:szCs w:val="32"/>
        </w:rPr>
        <w:t>2024</w:t>
      </w:r>
      <w:r>
        <w:rPr>
          <w:rFonts w:hint="eastAsia" w:ascii="宋体" w:hAnsi="宋体"/>
          <w:b/>
          <w:sz w:val="32"/>
          <w:szCs w:val="32"/>
        </w:rPr>
        <w:t>年</w:t>
      </w:r>
      <w:r>
        <w:rPr>
          <w:rFonts w:ascii="宋体" w:hAnsi="宋体"/>
          <w:b/>
          <w:sz w:val="32"/>
          <w:szCs w:val="32"/>
        </w:rPr>
        <w:t>8</w:t>
      </w:r>
      <w:r>
        <w:rPr>
          <w:rFonts w:hint="eastAsia" w:ascii="宋体" w:hAnsi="宋体"/>
          <w:b/>
          <w:sz w:val="32"/>
          <w:szCs w:val="32"/>
        </w:rPr>
        <w:t>月</w:t>
      </w:r>
    </w:p>
    <w:p w14:paraId="21B4BD38">
      <w:pPr>
        <w:numPr>
          <w:ilvl w:val="0"/>
          <w:numId w:val="0"/>
        </w:numPr>
        <w:spacing w:line="360" w:lineRule="auto"/>
        <w:ind w:leftChars="0"/>
        <w:outlineLvl w:val="0"/>
        <w:rPr>
          <w:rStyle w:val="8"/>
          <w:szCs w:val="28"/>
        </w:rPr>
      </w:pPr>
      <w:bookmarkStart w:id="0" w:name="_Toc44418338"/>
      <w:bookmarkStart w:id="1" w:name="_Toc55455975"/>
      <w:bookmarkStart w:id="2" w:name="_Toc18322263"/>
      <w:bookmarkStart w:id="3" w:name="_Toc18322386"/>
      <w:bookmarkStart w:id="4" w:name="_Toc371415903"/>
      <w:bookmarkStart w:id="5" w:name="_Toc44479959"/>
      <w:bookmarkStart w:id="6" w:name="_Toc464647034"/>
      <w:r>
        <w:rPr>
          <w:rStyle w:val="8"/>
          <w:rFonts w:hint="eastAsia"/>
          <w:szCs w:val="28"/>
        </w:rPr>
        <w:t>项目</w:t>
      </w:r>
      <w:r>
        <w:rPr>
          <w:rStyle w:val="8"/>
          <w:szCs w:val="28"/>
        </w:rPr>
        <w:t>基本情况</w:t>
      </w:r>
    </w:p>
    <w:p w14:paraId="3A362649">
      <w:pPr>
        <w:numPr>
          <w:ilvl w:val="0"/>
          <w:numId w:val="1"/>
        </w:numPr>
        <w:spacing w:line="360" w:lineRule="auto"/>
        <w:jc w:val="left"/>
        <w:rPr>
          <w:rFonts w:ascii="宋体" w:hAnsi="宋体"/>
          <w:sz w:val="24"/>
          <w:u w:val="single"/>
        </w:rPr>
      </w:pPr>
      <w:r>
        <w:rPr>
          <w:rFonts w:hint="eastAsia" w:ascii="宋体" w:hAnsi="宋体"/>
          <w:sz w:val="24"/>
        </w:rPr>
        <w:t>项目</w:t>
      </w:r>
      <w:r>
        <w:rPr>
          <w:rFonts w:ascii="宋体" w:hAnsi="宋体"/>
          <w:sz w:val="24"/>
        </w:rPr>
        <w:t>名称：</w:t>
      </w:r>
      <w:r>
        <w:rPr>
          <w:rFonts w:hint="eastAsia" w:ascii="宋体" w:hAnsi="宋体"/>
          <w:sz w:val="24"/>
          <w:u w:val="single"/>
        </w:rPr>
        <w:t>北京协和医院工程材料检测项目（2024-2025年）</w:t>
      </w:r>
    </w:p>
    <w:p w14:paraId="66BCABF3">
      <w:pPr>
        <w:numPr>
          <w:ilvl w:val="0"/>
          <w:numId w:val="1"/>
        </w:numPr>
        <w:spacing w:line="360" w:lineRule="auto"/>
        <w:jc w:val="left"/>
        <w:rPr>
          <w:rFonts w:ascii="宋体" w:hAnsi="宋体"/>
          <w:sz w:val="24"/>
        </w:rPr>
      </w:pPr>
      <w:r>
        <w:rPr>
          <w:rFonts w:hint="eastAsia" w:ascii="宋体" w:hAnsi="宋体"/>
          <w:sz w:val="24"/>
        </w:rPr>
        <w:t>服务期限：</w:t>
      </w:r>
      <w:r>
        <w:rPr>
          <w:rFonts w:ascii="宋体" w:hAnsi="宋体"/>
          <w:sz w:val="24"/>
          <w:u w:val="single"/>
        </w:rPr>
        <w:t>1</w:t>
      </w:r>
      <w:r>
        <w:rPr>
          <w:rFonts w:hint="eastAsia" w:ascii="宋体" w:hAnsi="宋体"/>
          <w:sz w:val="24"/>
          <w:u w:val="single"/>
        </w:rPr>
        <w:t>年</w:t>
      </w:r>
    </w:p>
    <w:p w14:paraId="01515822">
      <w:pPr>
        <w:numPr>
          <w:ilvl w:val="0"/>
          <w:numId w:val="1"/>
        </w:numPr>
        <w:spacing w:line="360" w:lineRule="auto"/>
        <w:jc w:val="left"/>
        <w:rPr>
          <w:rFonts w:ascii="宋体" w:hAnsi="宋体"/>
          <w:sz w:val="24"/>
        </w:rPr>
      </w:pPr>
      <w:r>
        <w:rPr>
          <w:rFonts w:hint="eastAsia" w:ascii="宋体" w:hAnsi="宋体"/>
          <w:sz w:val="24"/>
        </w:rPr>
        <w:t>项目</w:t>
      </w:r>
      <w:r>
        <w:rPr>
          <w:rFonts w:ascii="宋体" w:hAnsi="宋体"/>
          <w:sz w:val="24"/>
        </w:rPr>
        <w:t>地点</w:t>
      </w:r>
      <w:r>
        <w:rPr>
          <w:rFonts w:hint="eastAsia" w:ascii="宋体" w:hAnsi="宋体"/>
          <w:sz w:val="24"/>
        </w:rPr>
        <w:t>：</w:t>
      </w:r>
      <w:r>
        <w:rPr>
          <w:rFonts w:ascii="宋体" w:hAnsi="宋体"/>
          <w:sz w:val="24"/>
          <w:u w:val="single"/>
        </w:rPr>
        <w:t>北京</w:t>
      </w:r>
      <w:r>
        <w:rPr>
          <w:rFonts w:hint="eastAsia" w:ascii="宋体" w:hAnsi="宋体"/>
          <w:sz w:val="24"/>
          <w:u w:val="single"/>
        </w:rPr>
        <w:t>市</w:t>
      </w:r>
      <w:r>
        <w:rPr>
          <w:rFonts w:ascii="宋体" w:hAnsi="宋体"/>
          <w:sz w:val="24"/>
          <w:u w:val="single"/>
        </w:rPr>
        <w:t>东城区</w:t>
      </w:r>
      <w:r>
        <w:rPr>
          <w:rFonts w:hint="eastAsia" w:ascii="宋体" w:hAnsi="宋体"/>
          <w:sz w:val="24"/>
          <w:u w:val="single"/>
        </w:rPr>
        <w:t>帅府园1号</w:t>
      </w:r>
    </w:p>
    <w:p w14:paraId="633EAC48">
      <w:pPr>
        <w:numPr>
          <w:ilvl w:val="0"/>
          <w:numId w:val="1"/>
        </w:numPr>
        <w:spacing w:line="360" w:lineRule="auto"/>
        <w:jc w:val="left"/>
        <w:rPr>
          <w:rFonts w:ascii="宋体" w:hAnsi="宋体"/>
          <w:sz w:val="24"/>
        </w:rPr>
      </w:pPr>
      <w:r>
        <w:rPr>
          <w:rFonts w:hint="eastAsia" w:ascii="宋体" w:hAnsi="宋体"/>
          <w:sz w:val="24"/>
        </w:rPr>
        <w:t>招标范围：</w:t>
      </w:r>
      <w:r>
        <w:rPr>
          <w:rFonts w:hint="eastAsia" w:ascii="Arial" w:hAnsi="Arial" w:cs="Arial"/>
          <w:sz w:val="24"/>
        </w:rPr>
        <w:t>按照《北京市建设工程质量条例》对北京协和医院院内</w:t>
      </w:r>
      <w:r>
        <w:rPr>
          <w:rFonts w:ascii="Arial" w:hAnsi="Arial" w:cs="Arial"/>
          <w:sz w:val="24"/>
        </w:rPr>
        <w:t>工程</w:t>
      </w:r>
      <w:r>
        <w:rPr>
          <w:rFonts w:hint="eastAsia" w:ascii="Arial" w:hAnsi="Arial" w:cs="Arial"/>
          <w:sz w:val="24"/>
        </w:rPr>
        <w:t>的建筑材料、建筑构配件和设备、预拌混凝土、混凝土预制构件和工程实体质量、使用功能进行见证取样检测，提供检测报告，以及相应的技术咨询服务工作等。</w:t>
      </w:r>
    </w:p>
    <w:p w14:paraId="03F74826">
      <w:pPr>
        <w:numPr>
          <w:ilvl w:val="0"/>
          <w:numId w:val="2"/>
        </w:numPr>
        <w:spacing w:line="360" w:lineRule="auto"/>
        <w:outlineLvl w:val="0"/>
        <w:rPr>
          <w:rStyle w:val="8"/>
          <w:b w:val="0"/>
          <w:bCs w:val="0"/>
          <w:szCs w:val="28"/>
        </w:rPr>
      </w:pPr>
      <w:r>
        <w:rPr>
          <w:rStyle w:val="8"/>
          <w:rFonts w:hint="eastAsia"/>
          <w:szCs w:val="28"/>
        </w:rPr>
        <w:t>投标人资格要求</w:t>
      </w:r>
    </w:p>
    <w:p w14:paraId="5D9E8246">
      <w:pPr>
        <w:numPr>
          <w:ilvl w:val="0"/>
          <w:numId w:val="3"/>
        </w:numPr>
        <w:spacing w:line="360" w:lineRule="auto"/>
        <w:rPr>
          <w:rFonts w:ascii="宋体" w:hAnsi="宋体"/>
          <w:sz w:val="24"/>
        </w:rPr>
      </w:pPr>
      <w:r>
        <w:rPr>
          <w:rFonts w:hint="eastAsia" w:ascii="宋体" w:hAnsi="宋体"/>
          <w:sz w:val="24"/>
        </w:rPr>
        <w:t>具有本项目服务能力，符合、承认并承诺履行本文件各项规定的国内法人和其他组织均可参加投标</w:t>
      </w:r>
      <w:r>
        <w:rPr>
          <w:rFonts w:hint="eastAsia" w:ascii="宋体" w:hAnsi="宋体"/>
          <w:sz w:val="24"/>
          <w:lang w:eastAsia="zh-CN"/>
        </w:rPr>
        <w:t>；</w:t>
      </w:r>
    </w:p>
    <w:p w14:paraId="12A187B9">
      <w:pPr>
        <w:numPr>
          <w:ilvl w:val="0"/>
          <w:numId w:val="3"/>
        </w:numPr>
        <w:spacing w:line="360" w:lineRule="auto"/>
        <w:rPr>
          <w:rFonts w:ascii="宋体" w:hAnsi="宋体"/>
          <w:sz w:val="24"/>
        </w:rPr>
      </w:pPr>
      <w:r>
        <w:rPr>
          <w:rFonts w:hint="eastAsia" w:ascii="宋体" w:hAnsi="宋体"/>
          <w:sz w:val="24"/>
        </w:rPr>
        <w:t>投标人应遵守有关的国家法律、法规和条例，具备《中华人民共和国招标投</w:t>
      </w:r>
      <w:r>
        <w:rPr>
          <w:rFonts w:hint="eastAsia" w:ascii="宋体" w:hAnsi="宋体"/>
          <w:color w:val="000000"/>
          <w:sz w:val="24"/>
        </w:rPr>
        <w:t>标法》和本文件中规定的条件:</w:t>
      </w:r>
    </w:p>
    <w:p w14:paraId="61422347">
      <w:pPr>
        <w:numPr>
          <w:ilvl w:val="0"/>
          <w:numId w:val="4"/>
        </w:numPr>
        <w:spacing w:line="360" w:lineRule="auto"/>
        <w:rPr>
          <w:rFonts w:ascii="宋体" w:hAnsi="宋体"/>
          <w:sz w:val="24"/>
        </w:rPr>
      </w:pPr>
      <w:r>
        <w:rPr>
          <w:rFonts w:hint="eastAsia" w:ascii="宋体" w:hAnsi="宋体"/>
          <w:sz w:val="24"/>
        </w:rPr>
        <w:t>投标人必须是依照《中华人民共和国公司法》登记注册的且依法取得工商行政管理部门颁发的《企业法人营业执照》，具有独立法人资格的投标人；（提供复印件</w:t>
      </w:r>
      <w:r>
        <w:rPr>
          <w:rFonts w:hint="eastAsia" w:ascii="宋体" w:hAnsi="宋体"/>
          <w:sz w:val="24"/>
          <w:lang w:eastAsia="zh-CN"/>
        </w:rPr>
        <w:t>并</w:t>
      </w:r>
      <w:r>
        <w:rPr>
          <w:rFonts w:hint="eastAsia" w:ascii="宋体" w:hAnsi="宋体"/>
          <w:sz w:val="24"/>
        </w:rPr>
        <w:t>加盖公章）</w:t>
      </w:r>
    </w:p>
    <w:p w14:paraId="28AA9861">
      <w:pPr>
        <w:numPr>
          <w:ilvl w:val="0"/>
          <w:numId w:val="4"/>
        </w:numPr>
        <w:spacing w:line="360" w:lineRule="auto"/>
        <w:rPr>
          <w:rFonts w:ascii="宋体" w:hAnsi="宋体"/>
          <w:sz w:val="24"/>
        </w:rPr>
      </w:pPr>
      <w:r>
        <w:rPr>
          <w:rFonts w:hint="eastAsia" w:ascii="宋体" w:hAnsi="宋体"/>
          <w:sz w:val="24"/>
        </w:rPr>
        <w:t>投标人经营状态：在近三年（</w:t>
      </w:r>
      <w:r>
        <w:rPr>
          <w:rFonts w:ascii="宋体" w:hAnsi="宋体"/>
          <w:sz w:val="24"/>
        </w:rPr>
        <w:t>2021</w:t>
      </w:r>
      <w:r>
        <w:rPr>
          <w:rFonts w:hint="eastAsia" w:ascii="宋体" w:hAnsi="宋体"/>
          <w:sz w:val="24"/>
        </w:rPr>
        <w:t>年</w:t>
      </w:r>
      <w:r>
        <w:rPr>
          <w:rFonts w:ascii="宋体" w:hAnsi="宋体"/>
          <w:sz w:val="24"/>
        </w:rPr>
        <w:t>8</w:t>
      </w:r>
      <w:r>
        <w:rPr>
          <w:rFonts w:hint="eastAsia" w:ascii="宋体" w:hAnsi="宋体"/>
          <w:sz w:val="24"/>
        </w:rPr>
        <w:t>月</w:t>
      </w:r>
      <w:r>
        <w:rPr>
          <w:rFonts w:ascii="宋体" w:hAnsi="宋体"/>
          <w:sz w:val="24"/>
        </w:rPr>
        <w:t>1</w:t>
      </w:r>
      <w:r>
        <w:rPr>
          <w:rFonts w:hint="eastAsia" w:ascii="宋体" w:hAnsi="宋体"/>
          <w:sz w:val="24"/>
        </w:rPr>
        <w:t>日起至</w:t>
      </w:r>
      <w:r>
        <w:rPr>
          <w:rFonts w:ascii="宋体" w:hAnsi="宋体"/>
          <w:sz w:val="24"/>
        </w:rPr>
        <w:t>2024</w:t>
      </w:r>
      <w:r>
        <w:rPr>
          <w:rFonts w:hint="eastAsia" w:ascii="宋体" w:hAnsi="宋体"/>
          <w:sz w:val="24"/>
        </w:rPr>
        <w:t>年</w:t>
      </w:r>
      <w:r>
        <w:rPr>
          <w:rFonts w:ascii="宋体" w:hAnsi="宋体"/>
          <w:sz w:val="24"/>
        </w:rPr>
        <w:t>8</w:t>
      </w:r>
      <w:r>
        <w:rPr>
          <w:rFonts w:hint="eastAsia" w:ascii="宋体" w:hAnsi="宋体"/>
          <w:sz w:val="24"/>
        </w:rPr>
        <w:t>月</w:t>
      </w:r>
      <w:r>
        <w:rPr>
          <w:rFonts w:ascii="宋体" w:hAnsi="宋体"/>
          <w:sz w:val="24"/>
        </w:rPr>
        <w:t>1</w:t>
      </w:r>
      <w:r>
        <w:rPr>
          <w:rFonts w:hint="eastAsia" w:ascii="宋体" w:hAnsi="宋体"/>
          <w:sz w:val="24"/>
        </w:rPr>
        <w:t>日）内没有骗取中标和严重违约问题，在经营活动中没有重大违法记录，没有处于被责令停业，投标资格被取消，财产被接管、冻结，破产状态；（提供承诺书并加盖公章，格式自拟）</w:t>
      </w:r>
    </w:p>
    <w:p w14:paraId="4ED1BED2">
      <w:pPr>
        <w:numPr>
          <w:ilvl w:val="0"/>
          <w:numId w:val="4"/>
        </w:numPr>
        <w:spacing w:line="360" w:lineRule="auto"/>
        <w:rPr>
          <w:rFonts w:ascii="宋体" w:hAnsi="宋体"/>
          <w:sz w:val="24"/>
        </w:rPr>
      </w:pPr>
      <w:r>
        <w:rPr>
          <w:rFonts w:hint="eastAsia" w:ascii="宋体" w:hAnsi="宋体"/>
          <w:sz w:val="24"/>
        </w:rPr>
        <w:t>信用良好，在政府采购活动中无严重违法失信行为，未被列入“信用中国”网站和中国政府采购网的失信被执行人、重大税收违法案件当事人名单、政府采购严重违法失信行为记录名单；（采购方自行</w:t>
      </w:r>
      <w:r>
        <w:rPr>
          <w:rFonts w:ascii="宋体" w:hAnsi="宋体"/>
          <w:sz w:val="24"/>
        </w:rPr>
        <w:t>查询</w:t>
      </w:r>
      <w:r>
        <w:rPr>
          <w:rFonts w:hint="eastAsia" w:ascii="宋体" w:hAnsi="宋体"/>
          <w:sz w:val="24"/>
        </w:rPr>
        <w:t>）</w:t>
      </w:r>
    </w:p>
    <w:p w14:paraId="795B5098">
      <w:pPr>
        <w:numPr>
          <w:ilvl w:val="0"/>
          <w:numId w:val="3"/>
        </w:numPr>
        <w:spacing w:line="360" w:lineRule="auto"/>
        <w:rPr>
          <w:rFonts w:ascii="宋体" w:hAnsi="宋体"/>
          <w:sz w:val="24"/>
        </w:rPr>
      </w:pPr>
      <w:r>
        <w:rPr>
          <w:rFonts w:hint="eastAsia"/>
          <w:sz w:val="24"/>
        </w:rPr>
        <w:t>投标人须具备有效的北京市质量技术监督局颁发的</w:t>
      </w:r>
      <w:r>
        <w:rPr>
          <w:sz w:val="24"/>
        </w:rPr>
        <w:t>计量认</w:t>
      </w:r>
      <w:r>
        <w:rPr>
          <w:rFonts w:ascii="Arial" w:hAnsi="Arial" w:cs="Arial"/>
          <w:sz w:val="24"/>
        </w:rPr>
        <w:t>证证书（CMA计量认证合格证书的认证范围应涵盖本工程检测内容）；实验室认可证书</w:t>
      </w:r>
      <w:r>
        <w:rPr>
          <w:rFonts w:hint="eastAsia" w:ascii="Arial" w:hAnsi="Arial" w:cs="Arial"/>
          <w:sz w:val="24"/>
        </w:rPr>
        <w:t>（</w:t>
      </w:r>
      <w:r>
        <w:rPr>
          <w:rFonts w:ascii="Arial" w:hAnsi="Arial" w:cs="Arial"/>
          <w:sz w:val="24"/>
        </w:rPr>
        <w:t>CANS</w:t>
      </w:r>
      <w:r>
        <w:rPr>
          <w:rFonts w:hint="eastAsia" w:ascii="Arial" w:hAnsi="Arial" w:cs="Arial"/>
          <w:sz w:val="24"/>
        </w:rPr>
        <w:t>）</w:t>
      </w:r>
      <w:r>
        <w:rPr>
          <w:rFonts w:ascii="Arial" w:hAnsi="Arial" w:cs="Arial"/>
          <w:sz w:val="24"/>
        </w:rPr>
        <w:t>；北京市住房和城乡建设委员会颁发的建设工程质量检测机构资质证书（资质证书范围应涵盖工程检测</w:t>
      </w:r>
      <w:r>
        <w:rPr>
          <w:rFonts w:hint="eastAsia" w:ascii="Arial" w:hAnsi="Arial" w:cs="Arial"/>
          <w:sz w:val="24"/>
        </w:rPr>
        <w:t>全部</w:t>
      </w:r>
      <w:r>
        <w:rPr>
          <w:rFonts w:ascii="Arial" w:hAnsi="Arial" w:cs="Arial"/>
          <w:sz w:val="24"/>
        </w:rPr>
        <w:t>内容）检</w:t>
      </w:r>
      <w:r>
        <w:rPr>
          <w:rFonts w:hint="eastAsia"/>
          <w:sz w:val="24"/>
        </w:rPr>
        <w:t>测资质，检测人员必须有上岗资格</w:t>
      </w:r>
      <w:r>
        <w:rPr>
          <w:rFonts w:hint="eastAsia" w:ascii="宋体" w:hAnsi="宋体"/>
          <w:sz w:val="24"/>
        </w:rPr>
        <w:t>（提供复印件</w:t>
      </w:r>
      <w:r>
        <w:rPr>
          <w:rFonts w:hint="eastAsia" w:ascii="宋体" w:hAnsi="宋体"/>
          <w:sz w:val="24"/>
          <w:lang w:eastAsia="zh-CN"/>
        </w:rPr>
        <w:t>并</w:t>
      </w:r>
      <w:r>
        <w:rPr>
          <w:rFonts w:hint="eastAsia" w:ascii="宋体" w:hAnsi="宋体"/>
          <w:sz w:val="24"/>
        </w:rPr>
        <w:t>加盖公章）</w:t>
      </w:r>
      <w:r>
        <w:rPr>
          <w:rFonts w:hint="eastAsia" w:ascii="宋体" w:hAnsi="宋体"/>
          <w:sz w:val="24"/>
          <w:lang w:eastAsia="zh-CN"/>
        </w:rPr>
        <w:t>；</w:t>
      </w:r>
    </w:p>
    <w:p w14:paraId="793FE561">
      <w:pPr>
        <w:pStyle w:val="9"/>
        <w:numPr>
          <w:ilvl w:val="0"/>
          <w:numId w:val="3"/>
        </w:numPr>
        <w:adjustRightInd w:val="0"/>
        <w:snapToGrid w:val="0"/>
        <w:spacing w:line="460" w:lineRule="exact"/>
        <w:ind w:firstLineChars="0"/>
        <w:rPr>
          <w:rFonts w:ascii="Arial" w:hAnsi="Arial" w:cs="Arial"/>
          <w:bCs/>
          <w:sz w:val="24"/>
        </w:rPr>
      </w:pPr>
      <w:r>
        <w:rPr>
          <w:rFonts w:ascii="Arial" w:hAnsi="Arial" w:cs="Arial"/>
          <w:bCs/>
          <w:sz w:val="24"/>
        </w:rPr>
        <w:t>拟任项目负责人须具高级工程师职称</w:t>
      </w:r>
      <w:r>
        <w:rPr>
          <w:rFonts w:hint="eastAsia" w:ascii="宋体" w:hAnsi="宋体"/>
          <w:sz w:val="24"/>
        </w:rPr>
        <w:t>（提供复印件</w:t>
      </w:r>
      <w:r>
        <w:rPr>
          <w:rFonts w:hint="eastAsia" w:ascii="宋体" w:hAnsi="宋体"/>
          <w:sz w:val="24"/>
          <w:lang w:eastAsia="zh-CN"/>
        </w:rPr>
        <w:t>并</w:t>
      </w:r>
      <w:r>
        <w:rPr>
          <w:rFonts w:hint="eastAsia" w:ascii="宋体" w:hAnsi="宋体"/>
          <w:sz w:val="24"/>
        </w:rPr>
        <w:t>加盖公章）</w:t>
      </w:r>
      <w:r>
        <w:rPr>
          <w:rFonts w:hint="eastAsia" w:ascii="宋体" w:hAnsi="宋体"/>
          <w:sz w:val="24"/>
          <w:lang w:eastAsia="zh-CN"/>
        </w:rPr>
        <w:t>；</w:t>
      </w:r>
    </w:p>
    <w:p w14:paraId="311AC1FF">
      <w:pPr>
        <w:pStyle w:val="9"/>
        <w:numPr>
          <w:ilvl w:val="0"/>
          <w:numId w:val="3"/>
        </w:numPr>
        <w:adjustRightInd w:val="0"/>
        <w:snapToGrid w:val="0"/>
        <w:spacing w:line="460" w:lineRule="exact"/>
        <w:ind w:firstLineChars="0"/>
        <w:rPr>
          <w:rFonts w:ascii="宋体" w:hAnsi="宋体"/>
          <w:sz w:val="24"/>
        </w:rPr>
      </w:pPr>
      <w:r>
        <w:rPr>
          <w:rFonts w:hint="eastAsia" w:ascii="宋体" w:hAnsi="宋体"/>
          <w:sz w:val="24"/>
        </w:rPr>
        <w:t>持有有效的质量管理体系认证证书（提供复印件</w:t>
      </w:r>
      <w:r>
        <w:rPr>
          <w:rFonts w:hint="eastAsia" w:ascii="宋体" w:hAnsi="宋体"/>
          <w:sz w:val="24"/>
          <w:lang w:eastAsia="zh-CN"/>
        </w:rPr>
        <w:t>并</w:t>
      </w:r>
      <w:r>
        <w:rPr>
          <w:rFonts w:hint="eastAsia" w:ascii="宋体" w:hAnsi="宋体"/>
          <w:sz w:val="24"/>
        </w:rPr>
        <w:t>加盖公章）；</w:t>
      </w:r>
    </w:p>
    <w:p w14:paraId="61F3502C">
      <w:pPr>
        <w:pStyle w:val="9"/>
        <w:numPr>
          <w:ilvl w:val="0"/>
          <w:numId w:val="3"/>
        </w:numPr>
        <w:adjustRightInd w:val="0"/>
        <w:snapToGrid w:val="0"/>
        <w:spacing w:line="460" w:lineRule="exact"/>
        <w:ind w:firstLineChars="0"/>
        <w:rPr>
          <w:rFonts w:ascii="Arial" w:hAnsi="Arial" w:cs="Arial"/>
          <w:bCs/>
          <w:sz w:val="24"/>
        </w:rPr>
      </w:pPr>
      <w:r>
        <w:rPr>
          <w:rFonts w:hint="eastAsia" w:ascii="Arial" w:hAnsi="Arial" w:cs="Arial"/>
          <w:bCs/>
          <w:sz w:val="24"/>
        </w:rPr>
        <w:t>持有有效的计量认证证书</w:t>
      </w:r>
      <w:r>
        <w:rPr>
          <w:rFonts w:hint="eastAsia" w:ascii="宋体" w:hAnsi="宋体"/>
          <w:sz w:val="24"/>
        </w:rPr>
        <w:t>（提供复印件</w:t>
      </w:r>
      <w:r>
        <w:rPr>
          <w:rFonts w:hint="eastAsia" w:ascii="宋体" w:hAnsi="宋体"/>
          <w:sz w:val="24"/>
          <w:lang w:eastAsia="zh-CN"/>
        </w:rPr>
        <w:t>并</w:t>
      </w:r>
      <w:r>
        <w:rPr>
          <w:rFonts w:hint="eastAsia" w:ascii="宋体" w:hAnsi="宋体"/>
          <w:sz w:val="24"/>
        </w:rPr>
        <w:t>加盖公章）</w:t>
      </w:r>
      <w:r>
        <w:rPr>
          <w:rFonts w:hint="eastAsia" w:ascii="Arial" w:hAnsi="Arial" w:cs="Arial"/>
          <w:bCs/>
          <w:sz w:val="24"/>
        </w:rPr>
        <w:t>；</w:t>
      </w:r>
    </w:p>
    <w:p w14:paraId="0BF026DD">
      <w:pPr>
        <w:pStyle w:val="9"/>
        <w:numPr>
          <w:ilvl w:val="0"/>
          <w:numId w:val="3"/>
        </w:numPr>
        <w:adjustRightInd w:val="0"/>
        <w:snapToGrid w:val="0"/>
        <w:spacing w:line="460" w:lineRule="exact"/>
        <w:ind w:firstLineChars="0"/>
        <w:rPr>
          <w:rFonts w:ascii="Arial" w:hAnsi="Arial" w:cs="Arial"/>
          <w:bCs/>
          <w:sz w:val="24"/>
        </w:rPr>
      </w:pPr>
      <w:r>
        <w:rPr>
          <w:rFonts w:hint="eastAsia" w:ascii="Arial" w:hAnsi="Arial" w:cs="Arial"/>
          <w:bCs/>
          <w:sz w:val="24"/>
        </w:rPr>
        <w:t>近三年从事过建</w:t>
      </w:r>
      <w:r>
        <w:rPr>
          <w:rFonts w:hint="eastAsia" w:ascii="宋体" w:hAnsi="宋体"/>
          <w:bCs/>
          <w:sz w:val="24"/>
        </w:rPr>
        <w:t>设工程</w:t>
      </w:r>
      <w:r>
        <w:rPr>
          <w:rFonts w:hint="eastAsia" w:ascii="宋体" w:hAnsi="宋体" w:cs="宋体"/>
          <w:color w:val="000000"/>
          <w:sz w:val="24"/>
        </w:rPr>
        <w:t>检测项目</w:t>
      </w:r>
      <w:r>
        <w:rPr>
          <w:rFonts w:hint="eastAsia" w:ascii="宋体" w:hAnsi="宋体" w:cs="宋体"/>
          <w:color w:val="000000"/>
          <w:sz w:val="24"/>
          <w:lang w:eastAsia="zh-CN"/>
        </w:rPr>
        <w:t>（</w:t>
      </w:r>
      <w:r>
        <w:rPr>
          <w:rFonts w:hint="eastAsia" w:ascii="宋体" w:hAnsi="宋体"/>
          <w:sz w:val="24"/>
        </w:rPr>
        <w:t>提供1份</w:t>
      </w:r>
      <w:r>
        <w:rPr>
          <w:rFonts w:hint="eastAsia" w:ascii="宋体" w:hAnsi="宋体" w:cs="宋体"/>
          <w:color w:val="000000"/>
          <w:sz w:val="24"/>
        </w:rPr>
        <w:t>类似项目的</w:t>
      </w:r>
      <w:r>
        <w:rPr>
          <w:rFonts w:ascii="宋体" w:hAnsi="宋体"/>
          <w:sz w:val="24"/>
        </w:rPr>
        <w:t>合同复印件并加盖公章</w:t>
      </w:r>
      <w:r>
        <w:rPr>
          <w:rFonts w:hint="eastAsia" w:ascii="宋体" w:hAnsi="宋体" w:cs="宋体"/>
          <w:color w:val="000000"/>
          <w:sz w:val="24"/>
          <w:lang w:eastAsia="zh-CN"/>
        </w:rPr>
        <w:t>）</w:t>
      </w:r>
      <w:r>
        <w:rPr>
          <w:rFonts w:hint="eastAsia" w:ascii="宋体" w:hAnsi="宋体" w:cs="宋体"/>
          <w:color w:val="000000"/>
          <w:sz w:val="24"/>
        </w:rPr>
        <w:t>；</w:t>
      </w:r>
    </w:p>
    <w:p w14:paraId="1868E497">
      <w:pPr>
        <w:numPr>
          <w:ilvl w:val="0"/>
          <w:numId w:val="3"/>
        </w:numPr>
        <w:spacing w:line="360" w:lineRule="auto"/>
        <w:rPr>
          <w:rFonts w:ascii="宋体" w:hAnsi="宋体"/>
          <w:sz w:val="24"/>
        </w:rPr>
      </w:pPr>
      <w:r>
        <w:rPr>
          <w:rFonts w:hint="eastAsia" w:ascii="宋体" w:hAnsi="宋体"/>
          <w:sz w:val="24"/>
        </w:rPr>
        <w:t>本项目不接受联合体投标，禁止任何形式的分包和转包。</w:t>
      </w:r>
    </w:p>
    <w:p w14:paraId="42F356D5">
      <w:pPr>
        <w:numPr>
          <w:ilvl w:val="0"/>
          <w:numId w:val="3"/>
        </w:numPr>
        <w:spacing w:line="360" w:lineRule="auto"/>
        <w:rPr>
          <w:rFonts w:ascii="宋体" w:hAnsi="宋体"/>
          <w:sz w:val="24"/>
        </w:rPr>
      </w:pPr>
      <w:r>
        <w:rPr>
          <w:rFonts w:hint="eastAsia" w:ascii="宋体" w:hAnsi="宋体"/>
          <w:sz w:val="24"/>
        </w:rPr>
        <w:t>如投标人代表不是法定代表人，须持有《法定代表人授权委托书》。</w:t>
      </w:r>
    </w:p>
    <w:p w14:paraId="0DB1401B">
      <w:pPr>
        <w:numPr>
          <w:ilvl w:val="0"/>
          <w:numId w:val="3"/>
        </w:numPr>
        <w:spacing w:line="360" w:lineRule="auto"/>
        <w:rPr>
          <w:rFonts w:ascii="宋体" w:hAnsi="宋体"/>
          <w:sz w:val="24"/>
        </w:rPr>
      </w:pPr>
      <w:r>
        <w:rPr>
          <w:rFonts w:hint="eastAsia" w:ascii="宋体" w:hAnsi="宋体"/>
          <w:sz w:val="24"/>
        </w:rPr>
        <w:t>投标人</w:t>
      </w:r>
      <w:r>
        <w:rPr>
          <w:rFonts w:ascii="宋体" w:hAnsi="宋体"/>
          <w:sz w:val="24"/>
        </w:rPr>
        <w:t>检测能力范围应包含以下</w:t>
      </w:r>
      <w:r>
        <w:rPr>
          <w:rFonts w:hint="eastAsia" w:ascii="宋体" w:hAnsi="宋体"/>
          <w:sz w:val="24"/>
        </w:rPr>
        <w:t>内容</w:t>
      </w:r>
      <w:r>
        <w:rPr>
          <w:rFonts w:ascii="宋体" w:hAnsi="宋体"/>
          <w:sz w:val="24"/>
        </w:rPr>
        <w:t>：</w:t>
      </w:r>
    </w:p>
    <w:p w14:paraId="6630EA07">
      <w:pPr>
        <w:pStyle w:val="9"/>
        <w:numPr>
          <w:ilvl w:val="0"/>
          <w:numId w:val="5"/>
        </w:numPr>
        <w:spacing w:line="360" w:lineRule="auto"/>
        <w:ind w:firstLineChars="0"/>
        <w:rPr>
          <w:rFonts w:ascii="宋体" w:hAnsi="宋体"/>
          <w:sz w:val="24"/>
        </w:rPr>
      </w:pPr>
      <w:r>
        <w:rPr>
          <w:rFonts w:hint="eastAsia" w:ascii="宋体" w:hAnsi="宋体"/>
          <w:sz w:val="24"/>
        </w:rPr>
        <w:t>主体结构工程检测1、混凝土、砂浆、砌体强度现场检测;2、钢筋保护层厚度检测;3、混凝土预制构件结构性能检测;4、后置埋件的力学性能检测;</w:t>
      </w:r>
    </w:p>
    <w:p w14:paraId="70FDB744">
      <w:pPr>
        <w:pStyle w:val="9"/>
        <w:numPr>
          <w:ilvl w:val="0"/>
          <w:numId w:val="5"/>
        </w:numPr>
        <w:spacing w:line="360" w:lineRule="auto"/>
        <w:ind w:firstLineChars="0"/>
        <w:rPr>
          <w:rFonts w:ascii="宋体" w:hAnsi="宋体"/>
          <w:sz w:val="24"/>
        </w:rPr>
      </w:pPr>
      <w:r>
        <w:rPr>
          <w:rFonts w:hint="eastAsia" w:ascii="宋体" w:hAnsi="宋体"/>
          <w:sz w:val="24"/>
        </w:rPr>
        <w:t>钢结构工程检测:1、钢结构节点、机械连接用紧固标准件及高强度螺栓力学性能检测;2、钢网架结构的变形检测;3、钢结构焊接质量无损检测;4、钢结构防腐及防火涂装检测</w:t>
      </w:r>
    </w:p>
    <w:p w14:paraId="1EB99A2E">
      <w:pPr>
        <w:pStyle w:val="9"/>
        <w:numPr>
          <w:ilvl w:val="0"/>
          <w:numId w:val="5"/>
        </w:numPr>
        <w:spacing w:line="360" w:lineRule="auto"/>
        <w:ind w:firstLineChars="0"/>
        <w:rPr>
          <w:rFonts w:ascii="宋体" w:hAnsi="宋体"/>
          <w:sz w:val="24"/>
        </w:rPr>
      </w:pPr>
      <w:r>
        <w:rPr>
          <w:rFonts w:hint="eastAsia" w:ascii="宋体" w:hAnsi="宋体"/>
          <w:sz w:val="24"/>
        </w:rPr>
        <w:t>见证取样检测：1、水泥物理力学性能检验;2、钢筋(含焊接与机械连接)力学性能检验;3、砂石常规检验;4、混凝土、砂浆强度检验:5、简易土工试验;6、混凝土掺加剂检验;7、预应力钢绞线、锚夹具检验;8、沥青、沥青混合料检验;9、防水材料;10、用于承重墙的砖和混凝土小型砌块;11、道路工程用无机结合料稳定材料:12、建筑外窗(现场检测);13、建筑外窗(实验室);14、建筑节能工程用保温材料;15、建筑节能工程用绝热材料;16、建筑节能工程用粘结材料;17、建筑节能工程用增强网;18、建筑节能工程用散热器;19、建筑节能工程用幕墙玻璃;20、建筑节能工程用隔热型材</w:t>
      </w:r>
      <w:r>
        <w:rPr>
          <w:rFonts w:ascii="宋体" w:hAnsi="宋体"/>
          <w:sz w:val="24"/>
        </w:rPr>
        <w:t>；</w:t>
      </w:r>
      <w:r>
        <w:rPr>
          <w:rFonts w:hint="eastAsia" w:ascii="宋体" w:hAnsi="宋体"/>
          <w:sz w:val="24"/>
        </w:rPr>
        <w:t>21建筑</w:t>
      </w:r>
      <w:r>
        <w:rPr>
          <w:rFonts w:ascii="宋体" w:hAnsi="宋体"/>
          <w:sz w:val="24"/>
        </w:rPr>
        <w:t>节能</w:t>
      </w:r>
      <w:r>
        <w:rPr>
          <w:rFonts w:hint="eastAsia" w:ascii="宋体" w:hAnsi="宋体"/>
          <w:sz w:val="24"/>
        </w:rPr>
        <w:t>工程</w:t>
      </w:r>
      <w:r>
        <w:rPr>
          <w:rFonts w:ascii="宋体" w:hAnsi="宋体"/>
          <w:sz w:val="24"/>
        </w:rPr>
        <w:t>用</w:t>
      </w:r>
      <w:r>
        <w:rPr>
          <w:rFonts w:hint="eastAsia" w:ascii="宋体" w:hAnsi="宋体"/>
          <w:sz w:val="24"/>
        </w:rPr>
        <w:t>风机</w:t>
      </w:r>
      <w:r>
        <w:rPr>
          <w:rFonts w:ascii="宋体" w:hAnsi="宋体"/>
          <w:sz w:val="24"/>
        </w:rPr>
        <w:t>盘管机组</w:t>
      </w:r>
      <w:r>
        <w:rPr>
          <w:rFonts w:hint="eastAsia" w:ascii="宋体" w:hAnsi="宋体"/>
          <w:sz w:val="24"/>
        </w:rPr>
        <w:t>22、</w:t>
      </w:r>
      <w:r>
        <w:rPr>
          <w:rFonts w:ascii="宋体" w:hAnsi="宋体"/>
          <w:sz w:val="24"/>
        </w:rPr>
        <w:t>建筑节能工程用低压配电系统选择的电缆、电线</w:t>
      </w:r>
    </w:p>
    <w:p w14:paraId="29A85D05">
      <w:pPr>
        <w:pStyle w:val="9"/>
        <w:numPr>
          <w:ilvl w:val="0"/>
          <w:numId w:val="5"/>
        </w:numPr>
        <w:spacing w:line="360" w:lineRule="auto"/>
        <w:ind w:firstLineChars="0"/>
        <w:rPr>
          <w:rFonts w:ascii="宋体" w:hAnsi="宋体"/>
          <w:sz w:val="24"/>
        </w:rPr>
      </w:pPr>
      <w:r>
        <w:rPr>
          <w:rFonts w:hint="eastAsia" w:ascii="宋体" w:hAnsi="宋体"/>
          <w:sz w:val="24"/>
        </w:rPr>
        <w:t>其他未尽检测</w:t>
      </w:r>
      <w:r>
        <w:rPr>
          <w:rFonts w:ascii="宋体" w:hAnsi="宋体"/>
          <w:sz w:val="24"/>
        </w:rPr>
        <w:t>内容</w:t>
      </w:r>
    </w:p>
    <w:bookmarkEnd w:id="0"/>
    <w:bookmarkEnd w:id="1"/>
    <w:bookmarkEnd w:id="2"/>
    <w:bookmarkEnd w:id="3"/>
    <w:bookmarkEnd w:id="4"/>
    <w:bookmarkEnd w:id="5"/>
    <w:bookmarkEnd w:id="6"/>
    <w:p w14:paraId="20F639ED">
      <w:pPr>
        <w:numPr>
          <w:ilvl w:val="0"/>
          <w:numId w:val="2"/>
        </w:numPr>
        <w:spacing w:line="360" w:lineRule="auto"/>
        <w:outlineLvl w:val="0"/>
        <w:rPr>
          <w:rStyle w:val="8"/>
          <w:szCs w:val="28"/>
        </w:rPr>
      </w:pPr>
      <w:bookmarkStart w:id="7" w:name="_Toc464647038"/>
      <w:bookmarkStart w:id="8" w:name="_Toc371415907"/>
      <w:bookmarkStart w:id="9" w:name="_Toc342297601"/>
      <w:bookmarkStart w:id="10" w:name="_Toc342296144"/>
      <w:r>
        <w:rPr>
          <w:rStyle w:val="8"/>
          <w:rFonts w:hint="eastAsia"/>
          <w:szCs w:val="28"/>
        </w:rPr>
        <w:t>比价方式</w:t>
      </w:r>
    </w:p>
    <w:p w14:paraId="049A0184">
      <w:pPr>
        <w:numPr>
          <w:ilvl w:val="0"/>
          <w:numId w:val="6"/>
        </w:numPr>
        <w:spacing w:line="360" w:lineRule="auto"/>
        <w:jc w:val="left"/>
        <w:rPr>
          <w:rFonts w:ascii="宋体" w:hAnsi="宋体"/>
          <w:bCs/>
          <w:sz w:val="24"/>
        </w:rPr>
      </w:pPr>
      <w:r>
        <w:rPr>
          <w:rFonts w:hint="eastAsia" w:ascii="等线" w:hAnsi="等线"/>
          <w:sz w:val="24"/>
        </w:rPr>
        <w:t>投标</w:t>
      </w:r>
      <w:r>
        <w:rPr>
          <w:rFonts w:ascii="宋体" w:hAnsi="宋体"/>
          <w:bCs/>
          <w:sz w:val="24"/>
        </w:rPr>
        <w:t>单位</w:t>
      </w:r>
      <w:r>
        <w:rPr>
          <w:rFonts w:hint="eastAsia" w:ascii="宋体" w:hAnsi="宋体"/>
          <w:bCs/>
          <w:sz w:val="24"/>
        </w:rPr>
        <w:t>法人</w:t>
      </w:r>
      <w:r>
        <w:rPr>
          <w:rFonts w:ascii="宋体" w:hAnsi="宋体"/>
          <w:bCs/>
          <w:sz w:val="24"/>
        </w:rPr>
        <w:t>或委托人</w:t>
      </w:r>
      <w:r>
        <w:rPr>
          <w:rFonts w:hint="eastAsia" w:ascii="宋体" w:hAnsi="宋体"/>
          <w:bCs/>
          <w:sz w:val="24"/>
        </w:rPr>
        <w:t>按比价公告</w:t>
      </w:r>
      <w:r>
        <w:rPr>
          <w:rFonts w:ascii="宋体" w:hAnsi="宋体"/>
          <w:bCs/>
          <w:sz w:val="24"/>
        </w:rPr>
        <w:t>要求按时将文件发</w:t>
      </w:r>
      <w:r>
        <w:rPr>
          <w:rFonts w:hint="eastAsia" w:ascii="宋体" w:hAnsi="宋体"/>
          <w:bCs/>
          <w:sz w:val="24"/>
        </w:rPr>
        <w:t>送至邮箱</w:t>
      </w:r>
      <w:r>
        <w:rPr>
          <w:rFonts w:hint="eastAsia" w:ascii="宋体" w:hAnsi="宋体" w:cs="SSJ-PK74820000023-Identity-H"/>
          <w:color w:val="000000"/>
          <w:kern w:val="0"/>
          <w:sz w:val="24"/>
        </w:rPr>
        <w:t>，</w:t>
      </w:r>
      <w:r>
        <w:rPr>
          <w:rFonts w:ascii="宋体" w:hAnsi="宋体"/>
          <w:sz w:val="24"/>
        </w:rPr>
        <w:t>逾期</w:t>
      </w:r>
      <w:r>
        <w:rPr>
          <w:rFonts w:hint="eastAsia" w:ascii="宋体" w:hAnsi="宋体"/>
          <w:sz w:val="24"/>
        </w:rPr>
        <w:t>发送</w:t>
      </w:r>
      <w:r>
        <w:rPr>
          <w:rFonts w:ascii="宋体" w:hAnsi="宋体"/>
          <w:sz w:val="24"/>
        </w:rPr>
        <w:t>的的投标文件，招标人不予受理</w:t>
      </w:r>
      <w:r>
        <w:rPr>
          <w:rFonts w:hint="eastAsia" w:ascii="宋体" w:hAnsi="宋体"/>
          <w:sz w:val="24"/>
        </w:rPr>
        <w:t>。</w:t>
      </w:r>
    </w:p>
    <w:p w14:paraId="320F2217">
      <w:pPr>
        <w:numPr>
          <w:ilvl w:val="0"/>
          <w:numId w:val="6"/>
        </w:numPr>
        <w:spacing w:line="360" w:lineRule="auto"/>
        <w:jc w:val="left"/>
        <w:rPr>
          <w:rFonts w:ascii="宋体" w:hAnsi="宋体"/>
          <w:bCs/>
          <w:sz w:val="24"/>
        </w:rPr>
      </w:pPr>
      <w:r>
        <w:rPr>
          <w:rFonts w:hint="eastAsia" w:ascii="宋体" w:hAnsi="宋体"/>
          <w:bCs/>
          <w:sz w:val="24"/>
        </w:rPr>
        <w:t>招标人组建比价小组，由招标人组成，成员人数为3人。</w:t>
      </w:r>
    </w:p>
    <w:p w14:paraId="0DDA0174">
      <w:pPr>
        <w:numPr>
          <w:ilvl w:val="0"/>
          <w:numId w:val="6"/>
        </w:numPr>
        <w:spacing w:line="360" w:lineRule="auto"/>
        <w:jc w:val="left"/>
        <w:rPr>
          <w:rFonts w:ascii="宋体" w:hAnsi="宋体"/>
          <w:bCs/>
          <w:sz w:val="24"/>
        </w:rPr>
      </w:pPr>
      <w:r>
        <w:rPr>
          <w:rFonts w:hint="eastAsia" w:ascii="宋体" w:hAnsi="宋体"/>
          <w:bCs/>
          <w:sz w:val="24"/>
        </w:rPr>
        <w:t>在招标采购中，出现下列情形之一的，应予废标：</w:t>
      </w:r>
    </w:p>
    <w:p w14:paraId="09B34AF5">
      <w:pPr>
        <w:numPr>
          <w:ilvl w:val="0"/>
          <w:numId w:val="7"/>
        </w:numPr>
        <w:spacing w:before="120" w:line="360" w:lineRule="auto"/>
        <w:rPr>
          <w:rFonts w:ascii="宋体" w:hAnsi="宋体"/>
          <w:sz w:val="24"/>
        </w:rPr>
      </w:pPr>
      <w:r>
        <w:rPr>
          <w:rFonts w:hint="eastAsia" w:ascii="宋体" w:hAnsi="宋体"/>
          <w:sz w:val="24"/>
        </w:rPr>
        <w:t>符合专业条件的供应商或者对招标文件作实质响应的供应商不足三家的；</w:t>
      </w:r>
    </w:p>
    <w:p w14:paraId="5FF3A04E">
      <w:pPr>
        <w:numPr>
          <w:ilvl w:val="0"/>
          <w:numId w:val="7"/>
        </w:numPr>
        <w:spacing w:before="120" w:line="360" w:lineRule="auto"/>
        <w:rPr>
          <w:rFonts w:ascii="宋体" w:hAnsi="宋体"/>
          <w:sz w:val="24"/>
        </w:rPr>
      </w:pPr>
      <w:r>
        <w:rPr>
          <w:rFonts w:hint="eastAsia" w:ascii="宋体" w:hAnsi="宋体"/>
          <w:sz w:val="24"/>
        </w:rPr>
        <w:t>出现影响采购公正的违法、违规行为的；</w:t>
      </w:r>
    </w:p>
    <w:p w14:paraId="444EB3F9">
      <w:pPr>
        <w:numPr>
          <w:ilvl w:val="0"/>
          <w:numId w:val="7"/>
        </w:numPr>
        <w:spacing w:before="120" w:line="360" w:lineRule="auto"/>
        <w:rPr>
          <w:rFonts w:ascii="宋体" w:hAnsi="宋体"/>
          <w:sz w:val="24"/>
        </w:rPr>
      </w:pPr>
      <w:r>
        <w:rPr>
          <w:rFonts w:hint="eastAsia" w:ascii="宋体" w:hAnsi="宋体"/>
          <w:sz w:val="24"/>
        </w:rPr>
        <w:t>投标人的报价均超过了采购预算，采购人不能支付的；</w:t>
      </w:r>
    </w:p>
    <w:p w14:paraId="2F517FF1">
      <w:pPr>
        <w:numPr>
          <w:ilvl w:val="0"/>
          <w:numId w:val="7"/>
        </w:numPr>
        <w:spacing w:before="120" w:line="360" w:lineRule="auto"/>
        <w:rPr>
          <w:rFonts w:ascii="宋体" w:hAnsi="宋体"/>
          <w:sz w:val="24"/>
        </w:rPr>
      </w:pPr>
      <w:r>
        <w:rPr>
          <w:rFonts w:hint="eastAsia" w:ascii="宋体" w:hAnsi="宋体"/>
          <w:sz w:val="24"/>
        </w:rPr>
        <w:t>因重大变故，采购任务取消的。</w:t>
      </w:r>
    </w:p>
    <w:p w14:paraId="1965825E">
      <w:pPr>
        <w:numPr>
          <w:ilvl w:val="0"/>
          <w:numId w:val="6"/>
        </w:numPr>
        <w:spacing w:line="360" w:lineRule="auto"/>
        <w:jc w:val="left"/>
        <w:rPr>
          <w:rFonts w:ascii="宋体" w:hAnsi="宋体"/>
          <w:bCs/>
          <w:sz w:val="24"/>
        </w:rPr>
      </w:pPr>
      <w:r>
        <w:rPr>
          <w:rFonts w:hint="eastAsia" w:ascii="宋体" w:hAnsi="宋体"/>
          <w:sz w:val="24"/>
        </w:rPr>
        <w:t>专家小组对</w:t>
      </w:r>
      <w:r>
        <w:rPr>
          <w:rFonts w:ascii="宋体" w:hAnsi="宋体"/>
          <w:sz w:val="24"/>
        </w:rPr>
        <w:t>投标单位提供的响应文件进行资格性审查，存在以下情况的属于无效响应</w:t>
      </w:r>
      <w:r>
        <w:rPr>
          <w:rFonts w:hint="eastAsia" w:ascii="宋体" w:hAnsi="宋体"/>
          <w:sz w:val="24"/>
        </w:rPr>
        <w:t>，由专家小组予以否决</w:t>
      </w:r>
    </w:p>
    <w:p w14:paraId="5F85F6C5">
      <w:pPr>
        <w:numPr>
          <w:ilvl w:val="0"/>
          <w:numId w:val="8"/>
        </w:numPr>
        <w:spacing w:before="120" w:line="360" w:lineRule="auto"/>
        <w:rPr>
          <w:rFonts w:ascii="宋体" w:hAnsi="宋体"/>
          <w:sz w:val="24"/>
        </w:rPr>
      </w:pPr>
      <w:r>
        <w:rPr>
          <w:rFonts w:ascii="宋体" w:hAnsi="宋体"/>
          <w:sz w:val="24"/>
        </w:rPr>
        <w:t>响应文件未按照</w:t>
      </w:r>
      <w:r>
        <w:rPr>
          <w:rFonts w:hint="eastAsia" w:ascii="宋体" w:hAnsi="宋体"/>
          <w:sz w:val="24"/>
        </w:rPr>
        <w:t>比价</w:t>
      </w:r>
      <w:r>
        <w:rPr>
          <w:rFonts w:ascii="宋体" w:hAnsi="宋体"/>
          <w:sz w:val="24"/>
        </w:rPr>
        <w:t>文件要求签署、盖章的；</w:t>
      </w:r>
    </w:p>
    <w:p w14:paraId="7211521E">
      <w:pPr>
        <w:numPr>
          <w:ilvl w:val="0"/>
          <w:numId w:val="8"/>
        </w:numPr>
        <w:spacing w:before="120" w:line="360" w:lineRule="auto"/>
        <w:rPr>
          <w:rFonts w:ascii="宋体" w:hAnsi="宋体"/>
          <w:sz w:val="24"/>
        </w:rPr>
      </w:pPr>
      <w:r>
        <w:rPr>
          <w:rFonts w:ascii="宋体" w:hAnsi="宋体"/>
          <w:sz w:val="24"/>
        </w:rPr>
        <w:t>不具备</w:t>
      </w:r>
      <w:r>
        <w:rPr>
          <w:rFonts w:hint="eastAsia" w:ascii="宋体" w:hAnsi="宋体"/>
          <w:sz w:val="24"/>
        </w:rPr>
        <w:t>比价</w:t>
      </w:r>
      <w:r>
        <w:rPr>
          <w:rFonts w:ascii="宋体" w:hAnsi="宋体"/>
          <w:sz w:val="24"/>
        </w:rPr>
        <w:t>文件中规定资格要求的；</w:t>
      </w:r>
    </w:p>
    <w:p w14:paraId="75B094CF">
      <w:pPr>
        <w:numPr>
          <w:ilvl w:val="0"/>
          <w:numId w:val="8"/>
        </w:numPr>
        <w:spacing w:before="120" w:line="360" w:lineRule="auto"/>
        <w:rPr>
          <w:rFonts w:ascii="宋体" w:hAnsi="宋体"/>
          <w:sz w:val="24"/>
        </w:rPr>
      </w:pPr>
      <w:r>
        <w:rPr>
          <w:rFonts w:hint="eastAsia" w:ascii="宋体" w:hAnsi="宋体"/>
          <w:sz w:val="24"/>
        </w:rPr>
        <w:t>比价</w:t>
      </w:r>
      <w:r>
        <w:rPr>
          <w:rFonts w:ascii="宋体" w:hAnsi="宋体"/>
          <w:sz w:val="24"/>
        </w:rPr>
        <w:t>文件含有采购人不能接受的附加条件的；</w:t>
      </w:r>
    </w:p>
    <w:p w14:paraId="16A4DB06">
      <w:pPr>
        <w:numPr>
          <w:ilvl w:val="0"/>
          <w:numId w:val="8"/>
        </w:numPr>
        <w:spacing w:before="120" w:line="360" w:lineRule="auto"/>
        <w:rPr>
          <w:rFonts w:ascii="宋体" w:hAnsi="宋体"/>
          <w:sz w:val="24"/>
        </w:rPr>
      </w:pPr>
      <w:r>
        <w:rPr>
          <w:rFonts w:ascii="宋体" w:hAnsi="宋体"/>
          <w:sz w:val="24"/>
        </w:rPr>
        <w:t>属于法律、法规和</w:t>
      </w:r>
      <w:r>
        <w:rPr>
          <w:rFonts w:hint="eastAsia" w:ascii="宋体" w:hAnsi="宋体"/>
          <w:sz w:val="24"/>
        </w:rPr>
        <w:t>比价</w:t>
      </w:r>
      <w:r>
        <w:rPr>
          <w:rFonts w:ascii="宋体" w:hAnsi="宋体"/>
          <w:sz w:val="24"/>
        </w:rPr>
        <w:t>文件规定的其他无效情形的。</w:t>
      </w:r>
    </w:p>
    <w:p w14:paraId="749F127F">
      <w:pPr>
        <w:numPr>
          <w:ilvl w:val="0"/>
          <w:numId w:val="6"/>
        </w:numPr>
        <w:spacing w:line="360" w:lineRule="auto"/>
        <w:jc w:val="left"/>
        <w:rPr>
          <w:rFonts w:ascii="宋体" w:hAnsi="宋体"/>
          <w:bCs/>
          <w:sz w:val="24"/>
        </w:rPr>
      </w:pPr>
      <w:r>
        <w:rPr>
          <w:rFonts w:hint="eastAsia" w:ascii="宋体" w:hAnsi="宋体"/>
          <w:bCs/>
          <w:sz w:val="24"/>
        </w:rPr>
        <w:t>供应商分别进行</w:t>
      </w:r>
      <w:r>
        <w:rPr>
          <w:rFonts w:ascii="宋体" w:hAnsi="宋体"/>
          <w:bCs/>
          <w:sz w:val="24"/>
        </w:rPr>
        <w:t>谈判并</w:t>
      </w:r>
      <w:r>
        <w:rPr>
          <w:rFonts w:hint="eastAsia" w:ascii="宋体" w:hAnsi="宋体"/>
          <w:bCs/>
          <w:sz w:val="24"/>
        </w:rPr>
        <w:t>二次报价。</w:t>
      </w:r>
    </w:p>
    <w:p w14:paraId="392517B1">
      <w:pPr>
        <w:numPr>
          <w:ilvl w:val="0"/>
          <w:numId w:val="6"/>
        </w:numPr>
        <w:spacing w:line="360" w:lineRule="auto"/>
        <w:jc w:val="left"/>
        <w:rPr>
          <w:rFonts w:ascii="宋体" w:hAnsi="宋体"/>
          <w:bCs/>
          <w:sz w:val="24"/>
        </w:rPr>
      </w:pPr>
      <w:r>
        <w:rPr>
          <w:rFonts w:hint="eastAsia" w:ascii="宋体" w:hAnsi="宋体"/>
          <w:bCs/>
          <w:sz w:val="24"/>
        </w:rPr>
        <w:t>确认最终报价最低的</w:t>
      </w:r>
      <w:r>
        <w:rPr>
          <w:rFonts w:ascii="宋体" w:hAnsi="宋体"/>
          <w:bCs/>
          <w:sz w:val="24"/>
        </w:rPr>
        <w:t>单位为中标</w:t>
      </w:r>
      <w:r>
        <w:rPr>
          <w:rFonts w:hint="eastAsia" w:ascii="宋体" w:hAnsi="宋体"/>
          <w:bCs/>
          <w:sz w:val="24"/>
        </w:rPr>
        <w:t>候选人</w:t>
      </w:r>
      <w:r>
        <w:rPr>
          <w:rFonts w:ascii="宋体" w:hAnsi="宋体"/>
          <w:bCs/>
          <w:sz w:val="24"/>
        </w:rPr>
        <w:t>。</w:t>
      </w:r>
    </w:p>
    <w:p w14:paraId="729E1CF4">
      <w:pPr>
        <w:numPr>
          <w:ilvl w:val="0"/>
          <w:numId w:val="6"/>
        </w:numPr>
        <w:spacing w:line="360" w:lineRule="auto"/>
        <w:jc w:val="left"/>
        <w:rPr>
          <w:rFonts w:ascii="宋体" w:hAnsi="宋体"/>
          <w:bCs/>
          <w:sz w:val="24"/>
        </w:rPr>
      </w:pPr>
      <w:r>
        <w:rPr>
          <w:rFonts w:ascii="Arial" w:hAnsi="Arial" w:cs="Arial"/>
          <w:sz w:val="24"/>
        </w:rPr>
        <w:t>投标报价</w:t>
      </w:r>
      <w:r>
        <w:rPr>
          <w:rFonts w:hint="eastAsia" w:ascii="Arial" w:hAnsi="Arial" w:cs="Arial"/>
          <w:sz w:val="24"/>
        </w:rPr>
        <w:t>：</w:t>
      </w:r>
      <w:r>
        <w:rPr>
          <w:rFonts w:ascii="Arial" w:hAnsi="Arial" w:cs="Arial"/>
          <w:sz w:val="24"/>
        </w:rPr>
        <w:t>请</w:t>
      </w:r>
      <w:r>
        <w:rPr>
          <w:rFonts w:hint="eastAsia" w:ascii="Arial" w:hAnsi="Arial" w:cs="Arial"/>
          <w:sz w:val="24"/>
        </w:rPr>
        <w:t>参考</w:t>
      </w:r>
      <w:r>
        <w:rPr>
          <w:rFonts w:ascii="Arial" w:hAnsi="Arial" w:cs="Arial"/>
          <w:sz w:val="24"/>
        </w:rPr>
        <w:t>北京建设工程质量检测收费指导价（2011</w:t>
      </w:r>
      <w:r>
        <w:rPr>
          <w:rFonts w:hint="eastAsia" w:ascii="Arial" w:hAnsi="Arial" w:cs="Arial"/>
          <w:sz w:val="24"/>
        </w:rPr>
        <w:t>修订</w:t>
      </w:r>
      <w:r>
        <w:rPr>
          <w:rFonts w:ascii="Arial" w:hAnsi="Arial" w:cs="Arial"/>
          <w:sz w:val="24"/>
        </w:rPr>
        <w:t>版）收费标准</w:t>
      </w:r>
      <w:r>
        <w:rPr>
          <w:rFonts w:hint="eastAsia" w:ascii="Arial" w:hAnsi="Arial" w:cs="Arial"/>
          <w:sz w:val="24"/>
        </w:rPr>
        <w:t>自行考虑下浮比例。</w:t>
      </w:r>
    </w:p>
    <w:p w14:paraId="2DB8BD48">
      <w:pPr>
        <w:spacing w:line="360" w:lineRule="auto"/>
        <w:ind w:left="420"/>
        <w:jc w:val="center"/>
        <w:rPr>
          <w:rFonts w:ascii="宋体" w:hAnsi="宋体"/>
          <w:bCs/>
          <w:sz w:val="24"/>
        </w:rPr>
      </w:pPr>
      <w:r>
        <w:rPr>
          <w:rFonts w:hint="eastAsia" w:ascii="宋体" w:hAnsi="宋体"/>
          <w:bCs/>
          <w:sz w:val="24"/>
        </w:rPr>
        <w:t>比价</w:t>
      </w:r>
      <w:r>
        <w:rPr>
          <w:rFonts w:ascii="宋体" w:hAnsi="宋体"/>
          <w:bCs/>
          <w:sz w:val="24"/>
        </w:rPr>
        <w:t>确认单</w:t>
      </w:r>
    </w:p>
    <w:tbl>
      <w:tblPr>
        <w:tblStyle w:val="4"/>
        <w:tblpPr w:leftFromText="180" w:rightFromText="180" w:vertAnchor="text" w:horzAnchor="page" w:tblpX="1805" w:tblpY="258"/>
        <w:tblOverlap w:val="never"/>
        <w:tblW w:w="8505" w:type="dxa"/>
        <w:tblInd w:w="0" w:type="dxa"/>
        <w:tblLayout w:type="autofit"/>
        <w:tblCellMar>
          <w:top w:w="0" w:type="dxa"/>
          <w:left w:w="108" w:type="dxa"/>
          <w:bottom w:w="0" w:type="dxa"/>
          <w:right w:w="108" w:type="dxa"/>
        </w:tblCellMar>
      </w:tblPr>
      <w:tblGrid>
        <w:gridCol w:w="1101"/>
        <w:gridCol w:w="850"/>
        <w:gridCol w:w="1026"/>
        <w:gridCol w:w="2126"/>
        <w:gridCol w:w="2127"/>
        <w:gridCol w:w="567"/>
        <w:gridCol w:w="708"/>
      </w:tblGrid>
      <w:tr w14:paraId="53FD1C9E">
        <w:tblPrEx>
          <w:tblCellMar>
            <w:top w:w="0" w:type="dxa"/>
            <w:left w:w="108" w:type="dxa"/>
            <w:bottom w:w="0" w:type="dxa"/>
            <w:right w:w="108" w:type="dxa"/>
          </w:tblCellMar>
        </w:tblPrEx>
        <w:trPr>
          <w:trHeight w:val="283" w:hRule="atLeast"/>
        </w:trPr>
        <w:tc>
          <w:tcPr>
            <w:tcW w:w="8505" w:type="dxa"/>
            <w:gridSpan w:val="7"/>
            <w:tcBorders>
              <w:top w:val="nil"/>
              <w:left w:val="nil"/>
              <w:bottom w:val="single" w:color="auto" w:sz="4" w:space="0"/>
              <w:right w:val="nil"/>
            </w:tcBorders>
            <w:shd w:val="clear" w:color="auto" w:fill="auto"/>
            <w:noWrap/>
            <w:vAlign w:val="center"/>
          </w:tcPr>
          <w:p w14:paraId="17F19C1B">
            <w:pPr>
              <w:widowControl/>
              <w:jc w:val="left"/>
              <w:rPr>
                <w:rFonts w:ascii="宋体" w:hAnsi="宋体" w:cs="宋体"/>
                <w:color w:val="000000"/>
                <w:kern w:val="0"/>
                <w:sz w:val="28"/>
                <w:szCs w:val="28"/>
              </w:rPr>
            </w:pPr>
            <w:r>
              <w:rPr>
                <w:rFonts w:hint="eastAsia" w:ascii="宋体" w:hAnsi="宋体" w:cs="宋体"/>
                <w:color w:val="000000"/>
                <w:kern w:val="0"/>
                <w:sz w:val="28"/>
                <w:szCs w:val="28"/>
              </w:rPr>
              <w:t>项目名称：</w:t>
            </w:r>
          </w:p>
        </w:tc>
      </w:tr>
      <w:tr w14:paraId="16D76AF2">
        <w:tblPrEx>
          <w:tblCellMar>
            <w:top w:w="0" w:type="dxa"/>
            <w:left w:w="108" w:type="dxa"/>
            <w:bottom w:w="0" w:type="dxa"/>
            <w:right w:w="108" w:type="dxa"/>
          </w:tblCellMar>
        </w:tblPrEx>
        <w:trPr>
          <w:trHeight w:val="283" w:hRule="atLeast"/>
        </w:trPr>
        <w:tc>
          <w:tcPr>
            <w:tcW w:w="1101" w:type="dxa"/>
            <w:tcBorders>
              <w:top w:val="nil"/>
              <w:left w:val="single" w:color="auto" w:sz="4" w:space="0"/>
              <w:bottom w:val="single" w:color="auto" w:sz="4" w:space="0"/>
              <w:right w:val="single" w:color="auto" w:sz="4" w:space="0"/>
            </w:tcBorders>
            <w:shd w:val="clear" w:color="auto" w:fill="auto"/>
            <w:vAlign w:val="center"/>
          </w:tcPr>
          <w:p w14:paraId="0A980A58">
            <w:pPr>
              <w:widowControl/>
              <w:jc w:val="center"/>
              <w:rPr>
                <w:rFonts w:ascii="宋体" w:hAnsi="宋体" w:cs="宋体"/>
                <w:color w:val="000000"/>
                <w:kern w:val="0"/>
                <w:sz w:val="18"/>
                <w:szCs w:val="28"/>
              </w:rPr>
            </w:pPr>
            <w:r>
              <w:rPr>
                <w:rFonts w:hint="eastAsia" w:ascii="宋体" w:hAnsi="宋体" w:cs="宋体"/>
                <w:color w:val="000000"/>
                <w:kern w:val="0"/>
                <w:sz w:val="18"/>
                <w:szCs w:val="28"/>
              </w:rPr>
              <w:t>比价次序</w:t>
            </w:r>
          </w:p>
        </w:tc>
        <w:tc>
          <w:tcPr>
            <w:tcW w:w="850" w:type="dxa"/>
            <w:tcBorders>
              <w:top w:val="nil"/>
              <w:left w:val="nil"/>
              <w:bottom w:val="single" w:color="auto" w:sz="4" w:space="0"/>
              <w:right w:val="single" w:color="auto" w:sz="4" w:space="0"/>
            </w:tcBorders>
            <w:shd w:val="clear" w:color="auto" w:fill="auto"/>
            <w:noWrap/>
            <w:vAlign w:val="center"/>
          </w:tcPr>
          <w:p w14:paraId="5AB87328">
            <w:pPr>
              <w:widowControl/>
              <w:jc w:val="center"/>
              <w:rPr>
                <w:rFonts w:ascii="宋体" w:hAnsi="宋体" w:cs="宋体"/>
                <w:color w:val="000000"/>
                <w:kern w:val="0"/>
                <w:sz w:val="18"/>
                <w:szCs w:val="28"/>
              </w:rPr>
            </w:pPr>
            <w:r>
              <w:rPr>
                <w:rFonts w:hint="eastAsia" w:ascii="宋体" w:hAnsi="宋体" w:cs="宋体"/>
                <w:color w:val="000000"/>
                <w:kern w:val="0"/>
                <w:sz w:val="18"/>
                <w:szCs w:val="28"/>
              </w:rPr>
              <w:t>投标人</w:t>
            </w:r>
          </w:p>
        </w:tc>
        <w:tc>
          <w:tcPr>
            <w:tcW w:w="1026" w:type="dxa"/>
            <w:tcBorders>
              <w:top w:val="single" w:color="auto" w:sz="4" w:space="0"/>
              <w:left w:val="nil"/>
              <w:bottom w:val="single" w:color="auto" w:sz="4" w:space="0"/>
              <w:right w:val="single" w:color="auto" w:sz="4" w:space="0"/>
            </w:tcBorders>
            <w:shd w:val="clear" w:color="auto" w:fill="auto"/>
            <w:vAlign w:val="center"/>
          </w:tcPr>
          <w:p w14:paraId="059A3C02">
            <w:pPr>
              <w:widowControl/>
              <w:jc w:val="center"/>
              <w:rPr>
                <w:rFonts w:ascii="宋体" w:hAnsi="宋体" w:cs="宋体"/>
                <w:color w:val="000000"/>
                <w:kern w:val="0"/>
                <w:sz w:val="18"/>
                <w:szCs w:val="28"/>
              </w:rPr>
            </w:pPr>
            <w:r>
              <w:rPr>
                <w:rFonts w:hint="eastAsia" w:ascii="宋体" w:hAnsi="宋体" w:cs="宋体"/>
                <w:color w:val="000000"/>
                <w:kern w:val="0"/>
                <w:sz w:val="18"/>
                <w:szCs w:val="28"/>
              </w:rPr>
              <w:t>资格审核</w:t>
            </w:r>
          </w:p>
        </w:tc>
        <w:tc>
          <w:tcPr>
            <w:tcW w:w="2126" w:type="dxa"/>
            <w:tcBorders>
              <w:top w:val="single" w:color="auto" w:sz="4" w:space="0"/>
              <w:left w:val="nil"/>
              <w:bottom w:val="single" w:color="auto" w:sz="4" w:space="0"/>
              <w:right w:val="single" w:color="auto" w:sz="4" w:space="0"/>
            </w:tcBorders>
            <w:shd w:val="clear" w:color="auto" w:fill="auto"/>
            <w:vAlign w:val="center"/>
          </w:tcPr>
          <w:p w14:paraId="49CD75E2">
            <w:pPr>
              <w:widowControl/>
              <w:jc w:val="center"/>
              <w:rPr>
                <w:rFonts w:ascii="宋体" w:hAnsi="宋体" w:cs="宋体"/>
                <w:color w:val="000000"/>
                <w:kern w:val="0"/>
                <w:sz w:val="18"/>
                <w:szCs w:val="28"/>
              </w:rPr>
            </w:pPr>
            <w:r>
              <w:rPr>
                <w:rFonts w:hint="eastAsia" w:ascii="宋体" w:hAnsi="宋体" w:cs="宋体"/>
                <w:color w:val="000000"/>
                <w:kern w:val="0"/>
                <w:sz w:val="18"/>
                <w:szCs w:val="28"/>
              </w:rPr>
              <w:t>最初报价（下浮比例）　</w:t>
            </w:r>
          </w:p>
        </w:tc>
        <w:tc>
          <w:tcPr>
            <w:tcW w:w="2127" w:type="dxa"/>
            <w:tcBorders>
              <w:top w:val="nil"/>
              <w:left w:val="nil"/>
              <w:bottom w:val="single" w:color="auto" w:sz="4" w:space="0"/>
              <w:right w:val="single" w:color="auto" w:sz="4" w:space="0"/>
            </w:tcBorders>
            <w:shd w:val="clear" w:color="auto" w:fill="auto"/>
            <w:vAlign w:val="center"/>
          </w:tcPr>
          <w:p w14:paraId="25228236">
            <w:pPr>
              <w:widowControl/>
              <w:jc w:val="center"/>
              <w:rPr>
                <w:rFonts w:ascii="宋体" w:hAnsi="宋体" w:cs="宋体"/>
                <w:color w:val="000000"/>
                <w:kern w:val="0"/>
                <w:sz w:val="18"/>
                <w:szCs w:val="28"/>
              </w:rPr>
            </w:pPr>
            <w:r>
              <w:rPr>
                <w:rFonts w:hint="eastAsia" w:ascii="宋体" w:hAnsi="宋体" w:cs="宋体"/>
                <w:color w:val="000000"/>
                <w:kern w:val="0"/>
                <w:sz w:val="18"/>
                <w:szCs w:val="28"/>
              </w:rPr>
              <w:t>最终报价（下浮比例）</w:t>
            </w:r>
          </w:p>
        </w:tc>
        <w:tc>
          <w:tcPr>
            <w:tcW w:w="567" w:type="dxa"/>
            <w:tcBorders>
              <w:top w:val="nil"/>
              <w:left w:val="nil"/>
              <w:bottom w:val="single" w:color="auto" w:sz="4" w:space="0"/>
              <w:right w:val="single" w:color="auto" w:sz="4" w:space="0"/>
            </w:tcBorders>
            <w:shd w:val="clear" w:color="auto" w:fill="auto"/>
            <w:noWrap/>
            <w:vAlign w:val="center"/>
          </w:tcPr>
          <w:p w14:paraId="33A00BD5">
            <w:pPr>
              <w:widowControl/>
              <w:jc w:val="center"/>
              <w:rPr>
                <w:rFonts w:ascii="宋体" w:hAnsi="宋体" w:cs="宋体"/>
                <w:color w:val="000000"/>
                <w:kern w:val="0"/>
                <w:sz w:val="18"/>
                <w:szCs w:val="28"/>
              </w:rPr>
            </w:pPr>
            <w:r>
              <w:rPr>
                <w:rFonts w:hint="eastAsia" w:ascii="宋体" w:hAnsi="宋体" w:cs="宋体"/>
                <w:color w:val="000000"/>
                <w:kern w:val="0"/>
                <w:sz w:val="18"/>
                <w:szCs w:val="28"/>
              </w:rPr>
              <w:t>备注</w:t>
            </w:r>
          </w:p>
        </w:tc>
        <w:tc>
          <w:tcPr>
            <w:tcW w:w="708" w:type="dxa"/>
            <w:tcBorders>
              <w:top w:val="nil"/>
              <w:left w:val="nil"/>
              <w:bottom w:val="single" w:color="auto" w:sz="4" w:space="0"/>
              <w:right w:val="single" w:color="auto" w:sz="4" w:space="0"/>
            </w:tcBorders>
            <w:shd w:val="clear" w:color="auto" w:fill="auto"/>
            <w:vAlign w:val="center"/>
          </w:tcPr>
          <w:p w14:paraId="4C529FBC">
            <w:pPr>
              <w:widowControl/>
              <w:jc w:val="center"/>
              <w:rPr>
                <w:rFonts w:ascii="宋体" w:hAnsi="宋体" w:cs="宋体"/>
                <w:color w:val="000000"/>
                <w:kern w:val="0"/>
                <w:sz w:val="18"/>
                <w:szCs w:val="28"/>
              </w:rPr>
            </w:pPr>
            <w:r>
              <w:rPr>
                <w:rFonts w:hint="eastAsia" w:ascii="宋体" w:hAnsi="宋体" w:cs="宋体"/>
                <w:color w:val="000000"/>
                <w:kern w:val="0"/>
                <w:sz w:val="18"/>
                <w:szCs w:val="28"/>
              </w:rPr>
              <w:t>报价排名</w:t>
            </w:r>
          </w:p>
        </w:tc>
      </w:tr>
      <w:tr w14:paraId="6C6D3B7C">
        <w:tblPrEx>
          <w:tblCellMar>
            <w:top w:w="0" w:type="dxa"/>
            <w:left w:w="108" w:type="dxa"/>
            <w:bottom w:w="0" w:type="dxa"/>
            <w:right w:w="108" w:type="dxa"/>
          </w:tblCellMar>
        </w:tblPrEx>
        <w:trPr>
          <w:trHeight w:val="283"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14:paraId="36FC2869">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850" w:type="dxa"/>
            <w:tcBorders>
              <w:top w:val="nil"/>
              <w:left w:val="nil"/>
              <w:bottom w:val="single" w:color="auto" w:sz="4" w:space="0"/>
              <w:right w:val="single" w:color="auto" w:sz="4" w:space="0"/>
            </w:tcBorders>
            <w:shd w:val="clear" w:color="auto" w:fill="auto"/>
            <w:noWrap/>
            <w:vAlign w:val="center"/>
          </w:tcPr>
          <w:p w14:paraId="5095BCA5">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1026" w:type="dxa"/>
            <w:tcBorders>
              <w:top w:val="single" w:color="auto" w:sz="4" w:space="0"/>
              <w:left w:val="nil"/>
              <w:bottom w:val="single" w:color="auto" w:sz="4" w:space="0"/>
              <w:right w:val="single" w:color="auto" w:sz="4" w:space="0"/>
            </w:tcBorders>
            <w:shd w:val="clear" w:color="auto" w:fill="auto"/>
            <w:noWrap/>
            <w:vAlign w:val="center"/>
          </w:tcPr>
          <w:p w14:paraId="61D70009">
            <w:pPr>
              <w:jc w:val="center"/>
              <w:rPr>
                <w:rFonts w:ascii="宋体" w:hAnsi="宋体" w:cs="宋体"/>
                <w:color w:val="000000"/>
                <w:kern w:val="0"/>
                <w:sz w:val="18"/>
                <w:szCs w:val="28"/>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0BCA0EDB">
            <w:pPr>
              <w:jc w:val="center"/>
              <w:rPr>
                <w:rFonts w:ascii="宋体" w:hAnsi="宋体" w:cs="宋体"/>
                <w:color w:val="000000"/>
                <w:kern w:val="0"/>
                <w:sz w:val="18"/>
                <w:szCs w:val="28"/>
              </w:rPr>
            </w:pPr>
          </w:p>
        </w:tc>
        <w:tc>
          <w:tcPr>
            <w:tcW w:w="2127" w:type="dxa"/>
            <w:tcBorders>
              <w:top w:val="nil"/>
              <w:left w:val="nil"/>
              <w:bottom w:val="single" w:color="auto" w:sz="4" w:space="0"/>
              <w:right w:val="single" w:color="auto" w:sz="4" w:space="0"/>
            </w:tcBorders>
            <w:shd w:val="clear" w:color="auto" w:fill="auto"/>
            <w:noWrap/>
            <w:vAlign w:val="center"/>
          </w:tcPr>
          <w:p w14:paraId="1B16C02A">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567" w:type="dxa"/>
            <w:tcBorders>
              <w:top w:val="nil"/>
              <w:left w:val="nil"/>
              <w:bottom w:val="single" w:color="auto" w:sz="4" w:space="0"/>
              <w:right w:val="single" w:color="auto" w:sz="4" w:space="0"/>
            </w:tcBorders>
            <w:shd w:val="clear" w:color="auto" w:fill="auto"/>
            <w:noWrap/>
            <w:vAlign w:val="center"/>
          </w:tcPr>
          <w:p w14:paraId="1BC56344">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708" w:type="dxa"/>
            <w:tcBorders>
              <w:top w:val="nil"/>
              <w:left w:val="nil"/>
              <w:bottom w:val="single" w:color="auto" w:sz="4" w:space="0"/>
              <w:right w:val="single" w:color="auto" w:sz="4" w:space="0"/>
            </w:tcBorders>
            <w:shd w:val="clear" w:color="auto" w:fill="auto"/>
            <w:vAlign w:val="center"/>
          </w:tcPr>
          <w:p w14:paraId="7F8BE275">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r>
      <w:tr w14:paraId="44F298F9">
        <w:tblPrEx>
          <w:tblCellMar>
            <w:top w:w="0" w:type="dxa"/>
            <w:left w:w="108" w:type="dxa"/>
            <w:bottom w:w="0" w:type="dxa"/>
            <w:right w:w="108" w:type="dxa"/>
          </w:tblCellMar>
        </w:tblPrEx>
        <w:trPr>
          <w:trHeight w:val="283" w:hRule="atLeast"/>
        </w:trPr>
        <w:tc>
          <w:tcPr>
            <w:tcW w:w="1101" w:type="dxa"/>
            <w:tcBorders>
              <w:top w:val="nil"/>
              <w:left w:val="single" w:color="auto" w:sz="4" w:space="0"/>
              <w:bottom w:val="single" w:color="auto" w:sz="4" w:space="0"/>
              <w:right w:val="single" w:color="auto" w:sz="4" w:space="0"/>
            </w:tcBorders>
            <w:shd w:val="clear" w:color="auto" w:fill="auto"/>
            <w:vAlign w:val="center"/>
          </w:tcPr>
          <w:p w14:paraId="5044C81E">
            <w:pPr>
              <w:widowControl/>
              <w:jc w:val="center"/>
              <w:rPr>
                <w:rFonts w:ascii="宋体" w:hAnsi="宋体" w:cs="宋体"/>
                <w:color w:val="000000"/>
                <w:kern w:val="0"/>
                <w:sz w:val="18"/>
                <w:szCs w:val="28"/>
              </w:rPr>
            </w:pPr>
            <w:r>
              <w:rPr>
                <w:rFonts w:hint="eastAsia" w:ascii="宋体" w:hAnsi="宋体" w:cs="宋体"/>
                <w:color w:val="000000"/>
                <w:kern w:val="0"/>
                <w:sz w:val="18"/>
                <w:szCs w:val="28"/>
              </w:rPr>
              <w:t>比价次序</w:t>
            </w:r>
          </w:p>
        </w:tc>
        <w:tc>
          <w:tcPr>
            <w:tcW w:w="850" w:type="dxa"/>
            <w:tcBorders>
              <w:top w:val="nil"/>
              <w:left w:val="nil"/>
              <w:bottom w:val="single" w:color="auto" w:sz="4" w:space="0"/>
              <w:right w:val="single" w:color="auto" w:sz="4" w:space="0"/>
            </w:tcBorders>
            <w:shd w:val="clear" w:color="auto" w:fill="auto"/>
            <w:noWrap/>
            <w:vAlign w:val="center"/>
          </w:tcPr>
          <w:p w14:paraId="70F5E089">
            <w:pPr>
              <w:widowControl/>
              <w:jc w:val="center"/>
              <w:rPr>
                <w:rFonts w:ascii="宋体" w:hAnsi="宋体" w:cs="宋体"/>
                <w:color w:val="000000"/>
                <w:kern w:val="0"/>
                <w:sz w:val="18"/>
                <w:szCs w:val="28"/>
              </w:rPr>
            </w:pPr>
            <w:r>
              <w:rPr>
                <w:rFonts w:hint="eastAsia" w:ascii="宋体" w:hAnsi="宋体" w:cs="宋体"/>
                <w:color w:val="000000"/>
                <w:kern w:val="0"/>
                <w:sz w:val="18"/>
                <w:szCs w:val="28"/>
              </w:rPr>
              <w:t>投标人</w:t>
            </w:r>
          </w:p>
        </w:tc>
        <w:tc>
          <w:tcPr>
            <w:tcW w:w="1026" w:type="dxa"/>
            <w:tcBorders>
              <w:top w:val="single" w:color="auto" w:sz="4" w:space="0"/>
              <w:left w:val="nil"/>
              <w:bottom w:val="single" w:color="auto" w:sz="4" w:space="0"/>
              <w:right w:val="single" w:color="auto" w:sz="4" w:space="0"/>
            </w:tcBorders>
            <w:shd w:val="clear" w:color="auto" w:fill="auto"/>
            <w:vAlign w:val="center"/>
          </w:tcPr>
          <w:p w14:paraId="4CAF4933">
            <w:pPr>
              <w:jc w:val="center"/>
              <w:rPr>
                <w:rFonts w:ascii="宋体" w:hAnsi="宋体" w:cs="宋体"/>
                <w:color w:val="000000"/>
                <w:kern w:val="0"/>
                <w:sz w:val="18"/>
                <w:szCs w:val="28"/>
              </w:rPr>
            </w:pPr>
            <w:r>
              <w:rPr>
                <w:rFonts w:hint="eastAsia" w:ascii="宋体" w:hAnsi="宋体" w:cs="宋体"/>
                <w:color w:val="000000"/>
                <w:kern w:val="0"/>
                <w:sz w:val="18"/>
                <w:szCs w:val="28"/>
              </w:rPr>
              <w:t>资格审核</w:t>
            </w:r>
          </w:p>
        </w:tc>
        <w:tc>
          <w:tcPr>
            <w:tcW w:w="2126" w:type="dxa"/>
            <w:tcBorders>
              <w:top w:val="single" w:color="auto" w:sz="4" w:space="0"/>
              <w:left w:val="nil"/>
              <w:bottom w:val="single" w:color="auto" w:sz="4" w:space="0"/>
              <w:right w:val="single" w:color="auto" w:sz="4" w:space="0"/>
            </w:tcBorders>
            <w:shd w:val="clear" w:color="auto" w:fill="auto"/>
            <w:vAlign w:val="center"/>
          </w:tcPr>
          <w:p w14:paraId="5142B51D">
            <w:pPr>
              <w:widowControl/>
              <w:jc w:val="center"/>
              <w:rPr>
                <w:rFonts w:ascii="宋体" w:hAnsi="宋体" w:cs="宋体"/>
                <w:color w:val="000000"/>
                <w:kern w:val="0"/>
                <w:sz w:val="18"/>
                <w:szCs w:val="28"/>
              </w:rPr>
            </w:pPr>
            <w:r>
              <w:rPr>
                <w:rFonts w:hint="eastAsia" w:ascii="宋体" w:hAnsi="宋体" w:cs="宋体"/>
                <w:color w:val="000000"/>
                <w:kern w:val="0"/>
                <w:sz w:val="18"/>
                <w:szCs w:val="28"/>
              </w:rPr>
              <w:t>最初报价（下浮比例）　</w:t>
            </w:r>
          </w:p>
        </w:tc>
        <w:tc>
          <w:tcPr>
            <w:tcW w:w="2127" w:type="dxa"/>
            <w:tcBorders>
              <w:top w:val="nil"/>
              <w:left w:val="nil"/>
              <w:bottom w:val="single" w:color="auto" w:sz="4" w:space="0"/>
              <w:right w:val="single" w:color="auto" w:sz="4" w:space="0"/>
            </w:tcBorders>
            <w:shd w:val="clear" w:color="auto" w:fill="auto"/>
            <w:vAlign w:val="center"/>
          </w:tcPr>
          <w:p w14:paraId="1E2D2CE7">
            <w:pPr>
              <w:widowControl/>
              <w:jc w:val="center"/>
              <w:rPr>
                <w:rFonts w:ascii="宋体" w:hAnsi="宋体" w:cs="宋体"/>
                <w:color w:val="000000"/>
                <w:kern w:val="0"/>
                <w:sz w:val="18"/>
                <w:szCs w:val="28"/>
              </w:rPr>
            </w:pPr>
            <w:r>
              <w:rPr>
                <w:rFonts w:hint="eastAsia" w:ascii="宋体" w:hAnsi="宋体" w:cs="宋体"/>
                <w:color w:val="000000"/>
                <w:kern w:val="0"/>
                <w:sz w:val="18"/>
                <w:szCs w:val="28"/>
              </w:rPr>
              <w:t>最终报价（下浮比例）</w:t>
            </w:r>
          </w:p>
        </w:tc>
        <w:tc>
          <w:tcPr>
            <w:tcW w:w="567" w:type="dxa"/>
            <w:tcBorders>
              <w:top w:val="nil"/>
              <w:left w:val="nil"/>
              <w:bottom w:val="single" w:color="auto" w:sz="4" w:space="0"/>
              <w:right w:val="single" w:color="auto" w:sz="4" w:space="0"/>
            </w:tcBorders>
            <w:shd w:val="clear" w:color="auto" w:fill="auto"/>
            <w:noWrap/>
            <w:vAlign w:val="center"/>
          </w:tcPr>
          <w:p w14:paraId="5D0BDE4B">
            <w:pPr>
              <w:widowControl/>
              <w:jc w:val="center"/>
              <w:rPr>
                <w:rFonts w:ascii="宋体" w:hAnsi="宋体" w:cs="宋体"/>
                <w:color w:val="000000"/>
                <w:kern w:val="0"/>
                <w:sz w:val="18"/>
                <w:szCs w:val="28"/>
              </w:rPr>
            </w:pPr>
            <w:r>
              <w:rPr>
                <w:rFonts w:hint="eastAsia" w:ascii="宋体" w:hAnsi="宋体" w:cs="宋体"/>
                <w:color w:val="000000"/>
                <w:kern w:val="0"/>
                <w:sz w:val="18"/>
                <w:szCs w:val="28"/>
              </w:rPr>
              <w:t>备注</w:t>
            </w:r>
          </w:p>
        </w:tc>
        <w:tc>
          <w:tcPr>
            <w:tcW w:w="708" w:type="dxa"/>
            <w:tcBorders>
              <w:top w:val="nil"/>
              <w:left w:val="nil"/>
              <w:bottom w:val="single" w:color="auto" w:sz="4" w:space="0"/>
              <w:right w:val="single" w:color="auto" w:sz="4" w:space="0"/>
            </w:tcBorders>
            <w:shd w:val="clear" w:color="auto" w:fill="auto"/>
            <w:vAlign w:val="center"/>
          </w:tcPr>
          <w:p w14:paraId="34F493D9">
            <w:pPr>
              <w:widowControl/>
              <w:jc w:val="center"/>
              <w:rPr>
                <w:rFonts w:ascii="宋体" w:hAnsi="宋体" w:cs="宋体"/>
                <w:color w:val="000000"/>
                <w:kern w:val="0"/>
                <w:sz w:val="18"/>
                <w:szCs w:val="28"/>
              </w:rPr>
            </w:pPr>
            <w:r>
              <w:rPr>
                <w:rFonts w:hint="eastAsia" w:ascii="宋体" w:hAnsi="宋体" w:cs="宋体"/>
                <w:color w:val="000000"/>
                <w:kern w:val="0"/>
                <w:sz w:val="18"/>
                <w:szCs w:val="28"/>
              </w:rPr>
              <w:t>报价排名</w:t>
            </w:r>
          </w:p>
        </w:tc>
      </w:tr>
      <w:tr w14:paraId="6F8C73D5">
        <w:tblPrEx>
          <w:tblCellMar>
            <w:top w:w="0" w:type="dxa"/>
            <w:left w:w="108" w:type="dxa"/>
            <w:bottom w:w="0" w:type="dxa"/>
            <w:right w:w="108" w:type="dxa"/>
          </w:tblCellMar>
        </w:tblPrEx>
        <w:trPr>
          <w:trHeight w:val="283"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14:paraId="2122DADA">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850" w:type="dxa"/>
            <w:tcBorders>
              <w:top w:val="nil"/>
              <w:left w:val="nil"/>
              <w:bottom w:val="single" w:color="auto" w:sz="4" w:space="0"/>
              <w:right w:val="single" w:color="auto" w:sz="4" w:space="0"/>
            </w:tcBorders>
            <w:shd w:val="clear" w:color="auto" w:fill="auto"/>
            <w:noWrap/>
            <w:vAlign w:val="center"/>
          </w:tcPr>
          <w:p w14:paraId="03735FC0">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1026" w:type="dxa"/>
            <w:tcBorders>
              <w:top w:val="single" w:color="auto" w:sz="4" w:space="0"/>
              <w:left w:val="nil"/>
              <w:bottom w:val="single" w:color="auto" w:sz="4" w:space="0"/>
              <w:right w:val="single" w:color="auto" w:sz="4" w:space="0"/>
            </w:tcBorders>
            <w:shd w:val="clear" w:color="auto" w:fill="auto"/>
            <w:noWrap/>
            <w:vAlign w:val="center"/>
          </w:tcPr>
          <w:p w14:paraId="03EBA4C9">
            <w:pPr>
              <w:jc w:val="center"/>
              <w:rPr>
                <w:rFonts w:ascii="宋体" w:hAnsi="宋体" w:cs="宋体"/>
                <w:color w:val="000000"/>
                <w:kern w:val="0"/>
                <w:sz w:val="18"/>
                <w:szCs w:val="28"/>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2C8BA18E">
            <w:pPr>
              <w:jc w:val="center"/>
              <w:rPr>
                <w:rFonts w:ascii="宋体" w:hAnsi="宋体" w:cs="宋体"/>
                <w:color w:val="000000"/>
                <w:kern w:val="0"/>
                <w:sz w:val="18"/>
                <w:szCs w:val="28"/>
              </w:rPr>
            </w:pPr>
          </w:p>
        </w:tc>
        <w:tc>
          <w:tcPr>
            <w:tcW w:w="2127" w:type="dxa"/>
            <w:tcBorders>
              <w:top w:val="nil"/>
              <w:left w:val="nil"/>
              <w:bottom w:val="single" w:color="auto" w:sz="4" w:space="0"/>
              <w:right w:val="single" w:color="auto" w:sz="4" w:space="0"/>
            </w:tcBorders>
            <w:shd w:val="clear" w:color="auto" w:fill="auto"/>
            <w:noWrap/>
            <w:vAlign w:val="center"/>
          </w:tcPr>
          <w:p w14:paraId="148ED4E8">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567" w:type="dxa"/>
            <w:tcBorders>
              <w:top w:val="nil"/>
              <w:left w:val="nil"/>
              <w:bottom w:val="single" w:color="auto" w:sz="4" w:space="0"/>
              <w:right w:val="single" w:color="auto" w:sz="4" w:space="0"/>
            </w:tcBorders>
            <w:shd w:val="clear" w:color="auto" w:fill="auto"/>
            <w:noWrap/>
            <w:vAlign w:val="center"/>
          </w:tcPr>
          <w:p w14:paraId="360090BF">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708" w:type="dxa"/>
            <w:tcBorders>
              <w:top w:val="nil"/>
              <w:left w:val="nil"/>
              <w:bottom w:val="single" w:color="auto" w:sz="4" w:space="0"/>
              <w:right w:val="single" w:color="auto" w:sz="4" w:space="0"/>
            </w:tcBorders>
            <w:shd w:val="clear" w:color="auto" w:fill="auto"/>
            <w:vAlign w:val="center"/>
          </w:tcPr>
          <w:p w14:paraId="281B4D81">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r>
      <w:tr w14:paraId="52750457">
        <w:tblPrEx>
          <w:tblCellMar>
            <w:top w:w="0" w:type="dxa"/>
            <w:left w:w="108" w:type="dxa"/>
            <w:bottom w:w="0" w:type="dxa"/>
            <w:right w:w="108" w:type="dxa"/>
          </w:tblCellMar>
        </w:tblPrEx>
        <w:trPr>
          <w:trHeight w:val="283" w:hRule="atLeast"/>
        </w:trPr>
        <w:tc>
          <w:tcPr>
            <w:tcW w:w="1101" w:type="dxa"/>
            <w:tcBorders>
              <w:top w:val="nil"/>
              <w:left w:val="single" w:color="auto" w:sz="4" w:space="0"/>
              <w:bottom w:val="single" w:color="auto" w:sz="4" w:space="0"/>
              <w:right w:val="single" w:color="auto" w:sz="4" w:space="0"/>
            </w:tcBorders>
            <w:shd w:val="clear" w:color="auto" w:fill="auto"/>
            <w:vAlign w:val="center"/>
          </w:tcPr>
          <w:p w14:paraId="39EBC1AE">
            <w:pPr>
              <w:widowControl/>
              <w:jc w:val="center"/>
              <w:rPr>
                <w:rFonts w:ascii="宋体" w:hAnsi="宋体" w:cs="宋体"/>
                <w:color w:val="000000"/>
                <w:kern w:val="0"/>
                <w:sz w:val="18"/>
                <w:szCs w:val="28"/>
              </w:rPr>
            </w:pPr>
            <w:r>
              <w:rPr>
                <w:rFonts w:hint="eastAsia" w:ascii="宋体" w:hAnsi="宋体" w:cs="宋体"/>
                <w:color w:val="000000"/>
                <w:kern w:val="0"/>
                <w:sz w:val="18"/>
                <w:szCs w:val="28"/>
              </w:rPr>
              <w:t>比价次序</w:t>
            </w:r>
          </w:p>
        </w:tc>
        <w:tc>
          <w:tcPr>
            <w:tcW w:w="850" w:type="dxa"/>
            <w:tcBorders>
              <w:top w:val="nil"/>
              <w:left w:val="nil"/>
              <w:bottom w:val="single" w:color="auto" w:sz="4" w:space="0"/>
              <w:right w:val="single" w:color="auto" w:sz="4" w:space="0"/>
            </w:tcBorders>
            <w:shd w:val="clear" w:color="auto" w:fill="auto"/>
            <w:noWrap/>
            <w:vAlign w:val="center"/>
          </w:tcPr>
          <w:p w14:paraId="7145E964">
            <w:pPr>
              <w:widowControl/>
              <w:jc w:val="center"/>
              <w:rPr>
                <w:rFonts w:ascii="宋体" w:hAnsi="宋体" w:cs="宋体"/>
                <w:color w:val="000000"/>
                <w:kern w:val="0"/>
                <w:sz w:val="18"/>
                <w:szCs w:val="28"/>
              </w:rPr>
            </w:pPr>
            <w:r>
              <w:rPr>
                <w:rFonts w:hint="eastAsia" w:ascii="宋体" w:hAnsi="宋体" w:cs="宋体"/>
                <w:color w:val="000000"/>
                <w:kern w:val="0"/>
                <w:sz w:val="18"/>
                <w:szCs w:val="28"/>
              </w:rPr>
              <w:t>投标人</w:t>
            </w:r>
          </w:p>
        </w:tc>
        <w:tc>
          <w:tcPr>
            <w:tcW w:w="1026" w:type="dxa"/>
            <w:tcBorders>
              <w:top w:val="single" w:color="auto" w:sz="4" w:space="0"/>
              <w:left w:val="nil"/>
              <w:bottom w:val="single" w:color="auto" w:sz="4" w:space="0"/>
              <w:right w:val="single" w:color="auto" w:sz="4" w:space="0"/>
            </w:tcBorders>
            <w:shd w:val="clear" w:color="auto" w:fill="auto"/>
            <w:vAlign w:val="center"/>
          </w:tcPr>
          <w:p w14:paraId="5598078F">
            <w:pPr>
              <w:jc w:val="center"/>
              <w:rPr>
                <w:rFonts w:ascii="宋体" w:hAnsi="宋体" w:cs="宋体"/>
                <w:color w:val="000000"/>
                <w:kern w:val="0"/>
                <w:sz w:val="18"/>
                <w:szCs w:val="28"/>
              </w:rPr>
            </w:pPr>
            <w:r>
              <w:rPr>
                <w:rFonts w:hint="eastAsia" w:ascii="宋体" w:hAnsi="宋体" w:cs="宋体"/>
                <w:color w:val="000000"/>
                <w:kern w:val="0"/>
                <w:sz w:val="18"/>
                <w:szCs w:val="28"/>
              </w:rPr>
              <w:t>资格审核</w:t>
            </w:r>
          </w:p>
        </w:tc>
        <w:tc>
          <w:tcPr>
            <w:tcW w:w="2126" w:type="dxa"/>
            <w:tcBorders>
              <w:top w:val="single" w:color="auto" w:sz="4" w:space="0"/>
              <w:left w:val="nil"/>
              <w:bottom w:val="single" w:color="auto" w:sz="4" w:space="0"/>
              <w:right w:val="single" w:color="auto" w:sz="4" w:space="0"/>
            </w:tcBorders>
            <w:shd w:val="clear" w:color="auto" w:fill="auto"/>
            <w:vAlign w:val="center"/>
          </w:tcPr>
          <w:p w14:paraId="163D73E2">
            <w:pPr>
              <w:widowControl/>
              <w:jc w:val="center"/>
              <w:rPr>
                <w:rFonts w:ascii="宋体" w:hAnsi="宋体" w:cs="宋体"/>
                <w:color w:val="000000"/>
                <w:kern w:val="0"/>
                <w:sz w:val="18"/>
                <w:szCs w:val="28"/>
              </w:rPr>
            </w:pPr>
            <w:r>
              <w:rPr>
                <w:rFonts w:hint="eastAsia" w:ascii="宋体" w:hAnsi="宋体" w:cs="宋体"/>
                <w:color w:val="000000"/>
                <w:kern w:val="0"/>
                <w:sz w:val="18"/>
                <w:szCs w:val="28"/>
              </w:rPr>
              <w:t>最初报价（下浮比例）　</w:t>
            </w:r>
          </w:p>
        </w:tc>
        <w:tc>
          <w:tcPr>
            <w:tcW w:w="2127" w:type="dxa"/>
            <w:tcBorders>
              <w:top w:val="nil"/>
              <w:left w:val="nil"/>
              <w:bottom w:val="single" w:color="auto" w:sz="4" w:space="0"/>
              <w:right w:val="single" w:color="auto" w:sz="4" w:space="0"/>
            </w:tcBorders>
            <w:shd w:val="clear" w:color="auto" w:fill="auto"/>
            <w:vAlign w:val="center"/>
          </w:tcPr>
          <w:p w14:paraId="4FA01E97">
            <w:pPr>
              <w:widowControl/>
              <w:jc w:val="center"/>
              <w:rPr>
                <w:rFonts w:ascii="宋体" w:hAnsi="宋体" w:cs="宋体"/>
                <w:color w:val="000000"/>
                <w:kern w:val="0"/>
                <w:sz w:val="18"/>
                <w:szCs w:val="28"/>
              </w:rPr>
            </w:pPr>
            <w:r>
              <w:rPr>
                <w:rFonts w:hint="eastAsia" w:ascii="宋体" w:hAnsi="宋体" w:cs="宋体"/>
                <w:color w:val="000000"/>
                <w:kern w:val="0"/>
                <w:sz w:val="18"/>
                <w:szCs w:val="28"/>
              </w:rPr>
              <w:t>最终报价（下浮比例）</w:t>
            </w:r>
          </w:p>
        </w:tc>
        <w:tc>
          <w:tcPr>
            <w:tcW w:w="567" w:type="dxa"/>
            <w:tcBorders>
              <w:top w:val="nil"/>
              <w:left w:val="nil"/>
              <w:bottom w:val="single" w:color="auto" w:sz="4" w:space="0"/>
              <w:right w:val="single" w:color="auto" w:sz="4" w:space="0"/>
            </w:tcBorders>
            <w:shd w:val="clear" w:color="auto" w:fill="auto"/>
            <w:noWrap/>
            <w:vAlign w:val="center"/>
          </w:tcPr>
          <w:p w14:paraId="7162EBE1">
            <w:pPr>
              <w:widowControl/>
              <w:jc w:val="center"/>
              <w:rPr>
                <w:rFonts w:ascii="宋体" w:hAnsi="宋体" w:cs="宋体"/>
                <w:color w:val="000000"/>
                <w:kern w:val="0"/>
                <w:sz w:val="18"/>
                <w:szCs w:val="28"/>
              </w:rPr>
            </w:pPr>
            <w:r>
              <w:rPr>
                <w:rFonts w:hint="eastAsia" w:ascii="宋体" w:hAnsi="宋体" w:cs="宋体"/>
                <w:color w:val="000000"/>
                <w:kern w:val="0"/>
                <w:sz w:val="18"/>
                <w:szCs w:val="28"/>
              </w:rPr>
              <w:t>备注</w:t>
            </w:r>
          </w:p>
        </w:tc>
        <w:tc>
          <w:tcPr>
            <w:tcW w:w="708" w:type="dxa"/>
            <w:tcBorders>
              <w:top w:val="nil"/>
              <w:left w:val="nil"/>
              <w:bottom w:val="single" w:color="auto" w:sz="4" w:space="0"/>
              <w:right w:val="single" w:color="auto" w:sz="4" w:space="0"/>
            </w:tcBorders>
            <w:shd w:val="clear" w:color="auto" w:fill="auto"/>
            <w:vAlign w:val="center"/>
          </w:tcPr>
          <w:p w14:paraId="518B24DD">
            <w:pPr>
              <w:widowControl/>
              <w:jc w:val="center"/>
              <w:rPr>
                <w:rFonts w:ascii="宋体" w:hAnsi="宋体" w:cs="宋体"/>
                <w:color w:val="000000"/>
                <w:kern w:val="0"/>
                <w:sz w:val="18"/>
                <w:szCs w:val="28"/>
              </w:rPr>
            </w:pPr>
            <w:r>
              <w:rPr>
                <w:rFonts w:hint="eastAsia" w:ascii="宋体" w:hAnsi="宋体" w:cs="宋体"/>
                <w:color w:val="000000"/>
                <w:kern w:val="0"/>
                <w:sz w:val="18"/>
                <w:szCs w:val="28"/>
              </w:rPr>
              <w:t>报价排名</w:t>
            </w:r>
          </w:p>
        </w:tc>
      </w:tr>
      <w:tr w14:paraId="646C8FDE">
        <w:tblPrEx>
          <w:tblCellMar>
            <w:top w:w="0" w:type="dxa"/>
            <w:left w:w="108" w:type="dxa"/>
            <w:bottom w:w="0" w:type="dxa"/>
            <w:right w:w="108" w:type="dxa"/>
          </w:tblCellMar>
        </w:tblPrEx>
        <w:trPr>
          <w:trHeight w:val="283" w:hRule="atLeast"/>
        </w:trPr>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EB755">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66464D60">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1026" w:type="dxa"/>
            <w:tcBorders>
              <w:top w:val="single" w:color="auto" w:sz="4" w:space="0"/>
              <w:left w:val="nil"/>
              <w:bottom w:val="single" w:color="auto" w:sz="4" w:space="0"/>
              <w:right w:val="single" w:color="auto" w:sz="4" w:space="0"/>
            </w:tcBorders>
            <w:shd w:val="clear" w:color="auto" w:fill="auto"/>
            <w:noWrap/>
            <w:vAlign w:val="center"/>
          </w:tcPr>
          <w:p w14:paraId="2E8FDEA6">
            <w:pPr>
              <w:widowControl/>
              <w:jc w:val="center"/>
              <w:rPr>
                <w:rFonts w:ascii="宋体" w:hAnsi="宋体" w:cs="宋体"/>
                <w:color w:val="000000"/>
                <w:kern w:val="0"/>
                <w:sz w:val="18"/>
                <w:szCs w:val="28"/>
              </w:rPr>
            </w:pPr>
          </w:p>
        </w:tc>
        <w:tc>
          <w:tcPr>
            <w:tcW w:w="2126" w:type="dxa"/>
            <w:tcBorders>
              <w:top w:val="single" w:color="auto" w:sz="4" w:space="0"/>
              <w:left w:val="nil"/>
              <w:bottom w:val="single" w:color="auto" w:sz="4" w:space="0"/>
              <w:right w:val="single" w:color="auto" w:sz="4" w:space="0"/>
            </w:tcBorders>
            <w:shd w:val="clear" w:color="auto" w:fill="auto"/>
            <w:vAlign w:val="center"/>
          </w:tcPr>
          <w:p w14:paraId="6BF620F6">
            <w:pPr>
              <w:widowControl/>
              <w:jc w:val="center"/>
              <w:rPr>
                <w:rFonts w:ascii="宋体" w:hAnsi="宋体" w:cs="宋体"/>
                <w:color w:val="000000"/>
                <w:kern w:val="0"/>
                <w:sz w:val="18"/>
                <w:szCs w:val="28"/>
              </w:rPr>
            </w:pPr>
          </w:p>
        </w:tc>
        <w:tc>
          <w:tcPr>
            <w:tcW w:w="2127" w:type="dxa"/>
            <w:tcBorders>
              <w:top w:val="single" w:color="auto" w:sz="4" w:space="0"/>
              <w:left w:val="nil"/>
              <w:bottom w:val="single" w:color="auto" w:sz="4" w:space="0"/>
              <w:right w:val="single" w:color="auto" w:sz="4" w:space="0"/>
            </w:tcBorders>
            <w:shd w:val="clear" w:color="auto" w:fill="auto"/>
            <w:noWrap/>
            <w:vAlign w:val="center"/>
          </w:tcPr>
          <w:p w14:paraId="6B3ED719">
            <w:pPr>
              <w:widowControl/>
              <w:jc w:val="center"/>
              <w:rPr>
                <w:rFonts w:ascii="宋体" w:hAnsi="宋体" w:cs="宋体"/>
                <w:color w:val="000000"/>
                <w:kern w:val="0"/>
                <w:sz w:val="18"/>
                <w:szCs w:val="28"/>
              </w:rPr>
            </w:pPr>
            <w:r>
              <w:rPr>
                <w:rFonts w:hint="eastAsia" w:ascii="宋体" w:hAnsi="宋体" w:cs="宋体"/>
                <w:color w:val="000000"/>
                <w:kern w:val="0"/>
                <w:sz w:val="18"/>
                <w:szCs w:val="28"/>
              </w:rPr>
              <w:t>　</w:t>
            </w:r>
          </w:p>
        </w:tc>
        <w:tc>
          <w:tcPr>
            <w:tcW w:w="567" w:type="dxa"/>
            <w:tcBorders>
              <w:top w:val="single" w:color="auto" w:sz="4" w:space="0"/>
              <w:left w:val="nil"/>
              <w:bottom w:val="single" w:color="auto" w:sz="4" w:space="0"/>
              <w:right w:val="single" w:color="auto" w:sz="4" w:space="0"/>
            </w:tcBorders>
            <w:shd w:val="clear" w:color="auto" w:fill="auto"/>
            <w:noWrap/>
            <w:vAlign w:val="center"/>
          </w:tcPr>
          <w:p w14:paraId="226117A3">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c>
          <w:tcPr>
            <w:tcW w:w="708" w:type="dxa"/>
            <w:tcBorders>
              <w:top w:val="single" w:color="auto" w:sz="4" w:space="0"/>
              <w:left w:val="nil"/>
              <w:bottom w:val="single" w:color="auto" w:sz="4" w:space="0"/>
              <w:right w:val="single" w:color="auto" w:sz="4" w:space="0"/>
            </w:tcBorders>
            <w:shd w:val="clear" w:color="auto" w:fill="auto"/>
            <w:vAlign w:val="center"/>
          </w:tcPr>
          <w:p w14:paraId="077D40CA">
            <w:pPr>
              <w:widowControl/>
              <w:jc w:val="left"/>
              <w:rPr>
                <w:rFonts w:ascii="宋体" w:hAnsi="宋体" w:cs="宋体"/>
                <w:color w:val="000000"/>
                <w:kern w:val="0"/>
                <w:sz w:val="18"/>
                <w:szCs w:val="28"/>
              </w:rPr>
            </w:pPr>
            <w:r>
              <w:rPr>
                <w:rFonts w:hint="eastAsia" w:ascii="宋体" w:hAnsi="宋体" w:cs="宋体"/>
                <w:color w:val="000000"/>
                <w:kern w:val="0"/>
                <w:sz w:val="18"/>
                <w:szCs w:val="28"/>
              </w:rPr>
              <w:t>　</w:t>
            </w:r>
          </w:p>
        </w:tc>
      </w:tr>
      <w:tr w14:paraId="6C4EA10B">
        <w:tblPrEx>
          <w:tblCellMar>
            <w:top w:w="0" w:type="dxa"/>
            <w:left w:w="108" w:type="dxa"/>
            <w:bottom w:w="0" w:type="dxa"/>
            <w:right w:w="108" w:type="dxa"/>
          </w:tblCellMar>
        </w:tblPrEx>
        <w:trPr>
          <w:trHeight w:val="283" w:hRule="atLeast"/>
        </w:trPr>
        <w:tc>
          <w:tcPr>
            <w:tcW w:w="850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8A10E5F">
            <w:pPr>
              <w:widowControl/>
              <w:jc w:val="left"/>
              <w:rPr>
                <w:rFonts w:ascii="宋体" w:hAnsi="宋体" w:cs="宋体"/>
                <w:color w:val="000000"/>
                <w:kern w:val="0"/>
                <w:sz w:val="18"/>
                <w:szCs w:val="28"/>
              </w:rPr>
            </w:pPr>
            <w:r>
              <w:rPr>
                <w:rFonts w:ascii="宋体" w:hAnsi="宋体" w:cs="宋体"/>
                <w:color w:val="000000"/>
                <w:kern w:val="0"/>
                <w:sz w:val="18"/>
                <w:szCs w:val="28"/>
              </w:rPr>
              <w:t>……</w:t>
            </w:r>
          </w:p>
        </w:tc>
      </w:tr>
    </w:tbl>
    <w:p w14:paraId="182974D4">
      <w:pPr>
        <w:numPr>
          <w:numId w:val="0"/>
        </w:numPr>
        <w:spacing w:line="360" w:lineRule="auto"/>
        <w:ind w:leftChars="0"/>
        <w:jc w:val="left"/>
        <w:rPr>
          <w:rFonts w:hint="eastAsia" w:ascii="Arial" w:hAnsi="Arial" w:cs="Arial"/>
          <w:sz w:val="24"/>
        </w:rPr>
      </w:pPr>
    </w:p>
    <w:p w14:paraId="7233FC02">
      <w:pPr>
        <w:numPr>
          <w:numId w:val="0"/>
        </w:numPr>
        <w:spacing w:line="360" w:lineRule="auto"/>
        <w:ind w:leftChars="0"/>
        <w:jc w:val="left"/>
        <w:rPr>
          <w:rFonts w:hint="eastAsia" w:ascii="Arial" w:hAnsi="Arial" w:cs="Arial"/>
          <w:sz w:val="24"/>
        </w:rPr>
      </w:pPr>
      <w:bookmarkStart w:id="15" w:name="_GoBack"/>
      <w:bookmarkEnd w:id="15"/>
    </w:p>
    <w:p w14:paraId="5A022821">
      <w:pPr>
        <w:numPr>
          <w:numId w:val="0"/>
        </w:numPr>
        <w:spacing w:line="360" w:lineRule="auto"/>
        <w:ind w:leftChars="0"/>
        <w:jc w:val="left"/>
        <w:rPr>
          <w:rFonts w:hint="eastAsia" w:ascii="Arial" w:hAnsi="Arial" w:cs="Arial"/>
          <w:sz w:val="24"/>
        </w:rPr>
      </w:pPr>
    </w:p>
    <w:p w14:paraId="03AFA5D4">
      <w:pPr>
        <w:numPr>
          <w:numId w:val="0"/>
        </w:numPr>
        <w:spacing w:line="360" w:lineRule="auto"/>
        <w:ind w:leftChars="0"/>
        <w:jc w:val="left"/>
        <w:rPr>
          <w:rFonts w:hint="eastAsia" w:ascii="Arial" w:hAnsi="Arial" w:cs="Arial"/>
          <w:sz w:val="24"/>
        </w:rPr>
      </w:pPr>
    </w:p>
    <w:p w14:paraId="45872BD1">
      <w:pPr>
        <w:numPr>
          <w:ilvl w:val="0"/>
          <w:numId w:val="2"/>
        </w:numPr>
        <w:spacing w:line="360" w:lineRule="auto"/>
        <w:outlineLvl w:val="0"/>
        <w:rPr>
          <w:rStyle w:val="8"/>
          <w:bCs w:val="0"/>
          <w:szCs w:val="28"/>
        </w:rPr>
      </w:pPr>
      <w:r>
        <w:rPr>
          <w:rStyle w:val="8"/>
          <w:rFonts w:hint="eastAsia"/>
          <w:bCs w:val="0"/>
          <w:szCs w:val="28"/>
        </w:rPr>
        <w:t>报价</w:t>
      </w:r>
      <w:r>
        <w:rPr>
          <w:rStyle w:val="8"/>
          <w:bCs w:val="0"/>
          <w:szCs w:val="28"/>
        </w:rPr>
        <w:t>要求</w:t>
      </w:r>
    </w:p>
    <w:p w14:paraId="0C074726">
      <w:pPr>
        <w:pStyle w:val="9"/>
        <w:numPr>
          <w:ilvl w:val="0"/>
          <w:numId w:val="9"/>
        </w:numPr>
        <w:ind w:firstLineChars="0"/>
        <w:rPr>
          <w:rFonts w:ascii="宋体" w:hAnsi="宋体"/>
          <w:sz w:val="24"/>
        </w:rPr>
      </w:pPr>
      <w:r>
        <w:rPr>
          <w:rFonts w:hint="eastAsia" w:ascii="宋体" w:hAnsi="宋体"/>
          <w:sz w:val="24"/>
        </w:rPr>
        <w:t>报价模板：</w:t>
      </w:r>
    </w:p>
    <w:p w14:paraId="79D8FFF1">
      <w:pPr>
        <w:pStyle w:val="9"/>
        <w:spacing w:line="360" w:lineRule="atLeast"/>
        <w:ind w:left="360" w:firstLine="240" w:firstLineChars="100"/>
        <w:rPr>
          <w:rFonts w:ascii="Arial" w:hAnsi="Arial" w:cs="Arial"/>
          <w:color w:val="000000"/>
          <w:sz w:val="24"/>
        </w:rPr>
      </w:pPr>
      <w:r>
        <w:rPr>
          <w:rFonts w:hint="eastAsia" w:ascii="Arial" w:hAnsi="Arial" w:cs="Arial"/>
          <w:sz w:val="24"/>
        </w:rPr>
        <w:t>参考</w:t>
      </w:r>
      <w:r>
        <w:rPr>
          <w:rFonts w:ascii="Arial" w:hAnsi="Arial" w:cs="Arial"/>
          <w:sz w:val="24"/>
        </w:rPr>
        <w:t>北京建设工程质量检测收费标准指导价（2011</w:t>
      </w:r>
      <w:r>
        <w:rPr>
          <w:rFonts w:hint="eastAsia" w:ascii="Arial" w:hAnsi="Arial" w:cs="Arial"/>
          <w:sz w:val="24"/>
        </w:rPr>
        <w:t>修订</w:t>
      </w:r>
      <w:r>
        <w:rPr>
          <w:rFonts w:ascii="Arial" w:hAnsi="Arial" w:cs="Arial"/>
          <w:sz w:val="24"/>
        </w:rPr>
        <w:t>版）收费标准</w:t>
      </w:r>
    </w:p>
    <w:tbl>
      <w:tblPr>
        <w:tblStyle w:val="4"/>
        <w:tblW w:w="764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98" w:type="dxa"/>
          <w:bottom w:w="0" w:type="dxa"/>
          <w:right w:w="98" w:type="dxa"/>
        </w:tblCellMar>
      </w:tblPr>
      <w:tblGrid>
        <w:gridCol w:w="1678"/>
        <w:gridCol w:w="1740"/>
        <w:gridCol w:w="1954"/>
        <w:gridCol w:w="2268"/>
      </w:tblGrid>
      <w:tr w14:paraId="62FF3F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98" w:type="dxa"/>
            <w:bottom w:w="0" w:type="dxa"/>
            <w:right w:w="98" w:type="dxa"/>
          </w:tblCellMar>
        </w:tblPrEx>
        <w:trPr>
          <w:cantSplit/>
          <w:trHeight w:val="720" w:hRule="atLeast"/>
          <w:jc w:val="center"/>
        </w:trPr>
        <w:tc>
          <w:tcPr>
            <w:tcW w:w="1678" w:type="dxa"/>
            <w:tcBorders>
              <w:top w:val="single" w:color="auto" w:sz="12" w:space="0"/>
              <w:left w:val="single" w:color="auto" w:sz="12" w:space="0"/>
              <w:bottom w:val="single" w:color="auto" w:sz="4" w:space="0"/>
              <w:right w:val="single" w:color="auto" w:sz="4" w:space="0"/>
            </w:tcBorders>
            <w:vAlign w:val="center"/>
          </w:tcPr>
          <w:p w14:paraId="22CDDE8E">
            <w:pPr>
              <w:snapToGrid w:val="0"/>
              <w:spacing w:line="360" w:lineRule="auto"/>
              <w:jc w:val="center"/>
              <w:rPr>
                <w:rFonts w:ascii="Arial" w:hAnsi="Arial" w:cs="Arial"/>
                <w:color w:val="000000"/>
                <w:szCs w:val="21"/>
              </w:rPr>
            </w:pPr>
            <w:r>
              <w:rPr>
                <w:rFonts w:ascii="Arial" w:hAnsi="Arial" w:cs="Arial"/>
                <w:color w:val="000000"/>
                <w:szCs w:val="21"/>
              </w:rPr>
              <w:t>序号</w:t>
            </w:r>
          </w:p>
        </w:tc>
        <w:tc>
          <w:tcPr>
            <w:tcW w:w="1740" w:type="dxa"/>
            <w:tcBorders>
              <w:top w:val="single" w:color="auto" w:sz="12" w:space="0"/>
              <w:left w:val="single" w:color="auto" w:sz="4" w:space="0"/>
              <w:bottom w:val="single" w:color="auto" w:sz="4" w:space="0"/>
              <w:right w:val="single" w:color="auto" w:sz="4" w:space="0"/>
            </w:tcBorders>
            <w:vAlign w:val="center"/>
          </w:tcPr>
          <w:p w14:paraId="641E6F8C">
            <w:pPr>
              <w:snapToGrid w:val="0"/>
              <w:spacing w:line="360" w:lineRule="auto"/>
              <w:jc w:val="center"/>
              <w:rPr>
                <w:rFonts w:ascii="Arial" w:hAnsi="Arial" w:cs="Arial"/>
                <w:sz w:val="24"/>
              </w:rPr>
            </w:pPr>
            <w:r>
              <w:rPr>
                <w:rFonts w:hint="eastAsia" w:ascii="Arial" w:hAnsi="Arial" w:cs="Arial"/>
                <w:sz w:val="24"/>
              </w:rPr>
              <w:t>单位名称</w:t>
            </w:r>
          </w:p>
        </w:tc>
        <w:tc>
          <w:tcPr>
            <w:tcW w:w="1954" w:type="dxa"/>
            <w:tcBorders>
              <w:top w:val="single" w:color="auto" w:sz="12" w:space="0"/>
              <w:left w:val="single" w:color="auto" w:sz="4" w:space="0"/>
              <w:bottom w:val="single" w:color="auto" w:sz="4" w:space="0"/>
              <w:right w:val="single" w:color="auto" w:sz="4" w:space="0"/>
            </w:tcBorders>
            <w:vAlign w:val="center"/>
          </w:tcPr>
          <w:p w14:paraId="3002CDBD">
            <w:pPr>
              <w:snapToGrid w:val="0"/>
              <w:spacing w:line="360" w:lineRule="auto"/>
              <w:jc w:val="center"/>
              <w:rPr>
                <w:rFonts w:ascii="Arial" w:hAnsi="Arial" w:cs="Arial"/>
                <w:sz w:val="24"/>
              </w:rPr>
            </w:pPr>
            <w:r>
              <w:rPr>
                <w:rFonts w:hint="eastAsia" w:ascii="Arial" w:hAnsi="Arial" w:cs="Arial"/>
                <w:sz w:val="24"/>
              </w:rPr>
              <w:t>投标下浮比例</w:t>
            </w:r>
          </w:p>
        </w:tc>
        <w:tc>
          <w:tcPr>
            <w:tcW w:w="2268" w:type="dxa"/>
            <w:tcBorders>
              <w:top w:val="single" w:color="auto" w:sz="12" w:space="0"/>
              <w:left w:val="single" w:color="auto" w:sz="4" w:space="0"/>
              <w:bottom w:val="single" w:color="auto" w:sz="4" w:space="0"/>
              <w:right w:val="single" w:color="auto" w:sz="4" w:space="0"/>
            </w:tcBorders>
            <w:vAlign w:val="center"/>
          </w:tcPr>
          <w:p w14:paraId="501E4907">
            <w:pPr>
              <w:snapToGrid w:val="0"/>
              <w:spacing w:line="360" w:lineRule="auto"/>
              <w:ind w:firstLine="33" w:firstLineChars="14"/>
              <w:jc w:val="center"/>
              <w:rPr>
                <w:rFonts w:ascii="Arial" w:hAnsi="Arial" w:cs="Arial"/>
                <w:sz w:val="24"/>
              </w:rPr>
            </w:pPr>
            <w:r>
              <w:rPr>
                <w:rFonts w:hint="eastAsia" w:ascii="Arial" w:hAnsi="Arial" w:cs="Arial"/>
                <w:sz w:val="24"/>
              </w:rPr>
              <w:t>备注</w:t>
            </w:r>
          </w:p>
        </w:tc>
      </w:tr>
      <w:tr w14:paraId="44CE28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98" w:type="dxa"/>
            <w:bottom w:w="0" w:type="dxa"/>
            <w:right w:w="98" w:type="dxa"/>
          </w:tblCellMar>
        </w:tblPrEx>
        <w:trPr>
          <w:trHeight w:val="1052" w:hRule="atLeast"/>
          <w:jc w:val="center"/>
        </w:trPr>
        <w:tc>
          <w:tcPr>
            <w:tcW w:w="1678" w:type="dxa"/>
            <w:tcBorders>
              <w:top w:val="single" w:color="auto" w:sz="4" w:space="0"/>
              <w:left w:val="single" w:color="auto" w:sz="12" w:space="0"/>
              <w:bottom w:val="single" w:color="auto" w:sz="12" w:space="0"/>
              <w:right w:val="single" w:color="auto" w:sz="4" w:space="0"/>
            </w:tcBorders>
            <w:vAlign w:val="center"/>
          </w:tcPr>
          <w:p w14:paraId="276AC60F">
            <w:pPr>
              <w:snapToGrid w:val="0"/>
              <w:spacing w:line="360" w:lineRule="auto"/>
              <w:jc w:val="center"/>
              <w:rPr>
                <w:rFonts w:ascii="Arial" w:hAnsi="Arial" w:cs="Arial"/>
                <w:sz w:val="24"/>
              </w:rPr>
            </w:pPr>
            <w:r>
              <w:rPr>
                <w:rFonts w:ascii="Arial" w:hAnsi="Arial" w:cs="Arial"/>
                <w:sz w:val="24"/>
              </w:rPr>
              <w:t>1</w:t>
            </w:r>
          </w:p>
        </w:tc>
        <w:tc>
          <w:tcPr>
            <w:tcW w:w="1740" w:type="dxa"/>
            <w:tcBorders>
              <w:top w:val="single" w:color="auto" w:sz="4" w:space="0"/>
              <w:left w:val="single" w:color="auto" w:sz="4" w:space="0"/>
              <w:bottom w:val="single" w:color="auto" w:sz="12" w:space="0"/>
              <w:right w:val="single" w:color="auto" w:sz="4" w:space="0"/>
            </w:tcBorders>
            <w:vAlign w:val="center"/>
          </w:tcPr>
          <w:p w14:paraId="3F9C21A1">
            <w:pPr>
              <w:spacing w:line="360" w:lineRule="auto"/>
              <w:ind w:firstLine="420" w:firstLineChars="200"/>
              <w:jc w:val="center"/>
              <w:rPr>
                <w:rFonts w:ascii="Arial" w:hAnsi="Arial" w:cs="Arial"/>
                <w:color w:val="000000"/>
                <w:szCs w:val="21"/>
              </w:rPr>
            </w:pPr>
          </w:p>
        </w:tc>
        <w:tc>
          <w:tcPr>
            <w:tcW w:w="1954" w:type="dxa"/>
            <w:tcBorders>
              <w:top w:val="single" w:color="auto" w:sz="4" w:space="0"/>
              <w:left w:val="single" w:color="auto" w:sz="4" w:space="0"/>
              <w:bottom w:val="single" w:color="auto" w:sz="12" w:space="0"/>
              <w:right w:val="single" w:color="auto" w:sz="4" w:space="0"/>
            </w:tcBorders>
            <w:vAlign w:val="center"/>
          </w:tcPr>
          <w:p w14:paraId="70B0D985">
            <w:pPr>
              <w:spacing w:line="360" w:lineRule="auto"/>
              <w:ind w:firstLine="420" w:firstLineChars="200"/>
              <w:jc w:val="center"/>
              <w:rPr>
                <w:rFonts w:ascii="Arial" w:hAnsi="Arial" w:cs="Arial"/>
                <w:color w:val="000000"/>
                <w:szCs w:val="21"/>
                <w:highlight w:val="yellow"/>
              </w:rPr>
            </w:pPr>
          </w:p>
        </w:tc>
        <w:tc>
          <w:tcPr>
            <w:tcW w:w="2268" w:type="dxa"/>
            <w:tcBorders>
              <w:top w:val="single" w:color="auto" w:sz="4" w:space="0"/>
              <w:left w:val="single" w:color="auto" w:sz="4" w:space="0"/>
              <w:bottom w:val="single" w:color="auto" w:sz="12" w:space="0"/>
              <w:right w:val="single" w:color="auto" w:sz="4" w:space="0"/>
            </w:tcBorders>
            <w:vAlign w:val="center"/>
          </w:tcPr>
          <w:p w14:paraId="0B2C55D8">
            <w:pPr>
              <w:spacing w:line="360" w:lineRule="auto"/>
              <w:ind w:firstLine="420" w:firstLineChars="200"/>
              <w:rPr>
                <w:rFonts w:ascii="Arial" w:hAnsi="Arial" w:cs="Arial"/>
                <w:color w:val="000000"/>
                <w:szCs w:val="21"/>
              </w:rPr>
            </w:pPr>
          </w:p>
        </w:tc>
      </w:tr>
    </w:tbl>
    <w:p w14:paraId="3771D784">
      <w:pPr>
        <w:spacing w:line="360" w:lineRule="auto"/>
        <w:ind w:firstLine="480" w:firstLineChars="200"/>
        <w:rPr>
          <w:rFonts w:ascii="Arial" w:hAnsi="Arial" w:cs="Arial"/>
          <w:sz w:val="24"/>
        </w:rPr>
      </w:pPr>
      <w:r>
        <w:rPr>
          <w:rFonts w:ascii="Arial" w:hAnsi="Arial" w:cs="Arial"/>
          <w:sz w:val="24"/>
        </w:rPr>
        <w:t>投标人：(盖章)</w:t>
      </w:r>
    </w:p>
    <w:p w14:paraId="0F9611AA">
      <w:pPr>
        <w:spacing w:line="360" w:lineRule="auto"/>
        <w:ind w:firstLine="480" w:firstLineChars="200"/>
        <w:rPr>
          <w:rFonts w:ascii="Arial" w:hAnsi="Arial" w:cs="Arial"/>
          <w:sz w:val="24"/>
        </w:rPr>
      </w:pPr>
    </w:p>
    <w:p w14:paraId="1DF07451">
      <w:pPr>
        <w:spacing w:line="360" w:lineRule="auto"/>
        <w:ind w:firstLine="480" w:firstLineChars="200"/>
        <w:rPr>
          <w:rFonts w:ascii="Arial" w:hAnsi="Arial" w:cs="Arial"/>
          <w:sz w:val="24"/>
        </w:rPr>
      </w:pPr>
      <w:r>
        <w:rPr>
          <w:rFonts w:ascii="Arial" w:hAnsi="Arial" w:cs="Arial"/>
          <w:sz w:val="24"/>
        </w:rPr>
        <w:t>法定代表人或授权委托人：(签字或盖章)</w:t>
      </w:r>
    </w:p>
    <w:p w14:paraId="7A2571B3">
      <w:pPr>
        <w:spacing w:line="360" w:lineRule="auto"/>
        <w:ind w:firstLine="480" w:firstLineChars="200"/>
        <w:rPr>
          <w:rFonts w:ascii="Arial" w:hAnsi="Arial" w:cs="Arial"/>
          <w:sz w:val="24"/>
        </w:rPr>
      </w:pPr>
    </w:p>
    <w:p w14:paraId="0AF40925">
      <w:pPr>
        <w:spacing w:line="360" w:lineRule="auto"/>
        <w:ind w:firstLine="480" w:firstLineChars="200"/>
        <w:rPr>
          <w:rFonts w:ascii="Arial" w:hAnsi="Arial" w:cs="Arial"/>
          <w:sz w:val="24"/>
        </w:rPr>
      </w:pPr>
      <w:r>
        <w:rPr>
          <w:rFonts w:ascii="Arial" w:hAnsi="Arial" w:cs="Arial"/>
          <w:sz w:val="24"/>
        </w:rPr>
        <w:t>日期：        年     月     日</w:t>
      </w:r>
    </w:p>
    <w:p w14:paraId="4C51C96D">
      <w:pPr>
        <w:pStyle w:val="9"/>
        <w:ind w:left="360" w:firstLine="0" w:firstLineChars="0"/>
        <w:rPr>
          <w:rFonts w:ascii="宋体" w:hAnsi="宋体"/>
          <w:sz w:val="24"/>
        </w:rPr>
      </w:pPr>
    </w:p>
    <w:p w14:paraId="0C1B73AA">
      <w:pPr>
        <w:numPr>
          <w:ilvl w:val="0"/>
          <w:numId w:val="2"/>
        </w:numPr>
        <w:spacing w:line="360" w:lineRule="auto"/>
        <w:outlineLvl w:val="0"/>
        <w:rPr>
          <w:rStyle w:val="8"/>
          <w:bCs w:val="0"/>
          <w:szCs w:val="28"/>
        </w:rPr>
      </w:pPr>
      <w:r>
        <w:rPr>
          <w:rStyle w:val="8"/>
          <w:bCs w:val="0"/>
          <w:szCs w:val="28"/>
        </w:rPr>
        <w:t>合同</w:t>
      </w:r>
    </w:p>
    <w:p w14:paraId="0DD631B4">
      <w:pPr>
        <w:spacing w:line="360" w:lineRule="auto"/>
        <w:ind w:left="420"/>
        <w:jc w:val="left"/>
        <w:rPr>
          <w:rFonts w:ascii="宋体" w:hAnsi="宋体"/>
          <w:bCs/>
          <w:sz w:val="24"/>
        </w:rPr>
      </w:pPr>
      <w:r>
        <w:rPr>
          <w:rFonts w:hint="eastAsia" w:ascii="Arial" w:hAnsi="Arial" w:cs="Arial"/>
          <w:sz w:val="24"/>
        </w:rPr>
        <w:t>本合同采用综合单价（</w:t>
      </w:r>
      <w:r>
        <w:rPr>
          <w:rFonts w:ascii="宋体" w:hAnsi="宋体"/>
          <w:sz w:val="24"/>
          <w:u w:val="single"/>
        </w:rPr>
        <w:t>包括但不限</w:t>
      </w:r>
      <w:r>
        <w:rPr>
          <w:rFonts w:hint="eastAsia" w:ascii="宋体" w:hAnsi="宋体"/>
          <w:sz w:val="24"/>
          <w:u w:val="single"/>
        </w:rPr>
        <w:t>于为完成本项目所使用的人工费、材料费、机械费、措施费、水电费、检测作业大型机具搬移、就位、装拆、钻孔、探洞、取样、资料收集整理、检测报告的编制提交及其它服务、管理费、保险费、风险、利润、税金等与本合同项下检测工作相关一切费用）</w:t>
      </w:r>
      <w:r>
        <w:rPr>
          <w:rFonts w:hint="eastAsia" w:ascii="Arial" w:hAnsi="Arial" w:cs="Arial"/>
          <w:sz w:val="24"/>
        </w:rPr>
        <w:t>计价方式。</w:t>
      </w:r>
    </w:p>
    <w:p w14:paraId="0B4D6A9E">
      <w:pPr>
        <w:spacing w:line="360" w:lineRule="auto"/>
        <w:ind w:left="420"/>
        <w:jc w:val="left"/>
        <w:rPr>
          <w:rFonts w:ascii="宋体" w:hAnsi="宋体"/>
          <w:bCs/>
          <w:sz w:val="24"/>
        </w:rPr>
      </w:pPr>
    </w:p>
    <w:p w14:paraId="7D5CDAA7">
      <w:pPr>
        <w:spacing w:line="360" w:lineRule="auto"/>
        <w:ind w:left="420"/>
        <w:outlineLvl w:val="0"/>
        <w:rPr>
          <w:rStyle w:val="8"/>
          <w:bCs w:val="0"/>
          <w:szCs w:val="28"/>
        </w:rPr>
      </w:pPr>
    </w:p>
    <w:bookmarkEnd w:id="7"/>
    <w:bookmarkEnd w:id="8"/>
    <w:bookmarkEnd w:id="9"/>
    <w:bookmarkEnd w:id="10"/>
    <w:p w14:paraId="28C83E8E">
      <w:pPr>
        <w:spacing w:after="156" w:afterLines="50"/>
        <w:jc w:val="left"/>
        <w:outlineLvl w:val="1"/>
        <w:rPr>
          <w:rFonts w:ascii="仿宋_GB2312" w:hAnsi="宋体" w:eastAsia="仿宋_GB2312"/>
          <w:bCs/>
          <w:sz w:val="28"/>
          <w:szCs w:val="28"/>
        </w:rPr>
      </w:pPr>
      <w:r>
        <w:rPr>
          <w:rFonts w:ascii="宋体" w:hAnsi="宋体"/>
          <w:sz w:val="24"/>
        </w:rPr>
        <w:br w:type="page"/>
      </w:r>
      <w:r>
        <w:rPr>
          <w:rFonts w:hint="eastAsia" w:ascii="Arial" w:hAnsi="Arial" w:eastAsia="黑体" w:cs="Arial"/>
          <w:sz w:val="28"/>
          <w:szCs w:val="28"/>
        </w:rPr>
        <w:t>附件一：</w:t>
      </w:r>
    </w:p>
    <w:p w14:paraId="182C2D67">
      <w:pPr>
        <w:spacing w:line="360" w:lineRule="auto"/>
        <w:jc w:val="center"/>
        <w:rPr>
          <w:rFonts w:ascii="宋体"/>
          <w:b/>
          <w:sz w:val="28"/>
          <w:szCs w:val="28"/>
        </w:rPr>
      </w:pPr>
      <w:bookmarkStart w:id="11" w:name="_Toc429569631"/>
      <w:bookmarkStart w:id="12" w:name="_Toc480483889"/>
      <w:bookmarkStart w:id="13" w:name="_Toc480483925"/>
      <w:bookmarkStart w:id="14" w:name="_Toc482642773"/>
      <w:r>
        <w:rPr>
          <w:rFonts w:hint="eastAsia" w:ascii="宋体" w:hAnsi="宋体"/>
          <w:b/>
          <w:sz w:val="28"/>
          <w:szCs w:val="28"/>
        </w:rPr>
        <w:t>授权委托书</w:t>
      </w:r>
      <w:bookmarkEnd w:id="11"/>
      <w:bookmarkEnd w:id="12"/>
      <w:bookmarkEnd w:id="13"/>
      <w:bookmarkEnd w:id="14"/>
    </w:p>
    <w:p w14:paraId="33FD28BF">
      <w:pPr>
        <w:topLinePunct/>
        <w:spacing w:line="360" w:lineRule="auto"/>
        <w:ind w:firstLine="420" w:firstLineChars="200"/>
        <w:jc w:val="center"/>
        <w:rPr>
          <w:rFonts w:ascii="宋体"/>
          <w:szCs w:val="21"/>
        </w:rPr>
      </w:pPr>
    </w:p>
    <w:p w14:paraId="27B66298">
      <w:pPr>
        <w:topLinePunct/>
        <w:spacing w:line="360" w:lineRule="auto"/>
        <w:ind w:left="426" w:leftChars="203" w:firstLine="420" w:firstLineChars="200"/>
        <w:rPr>
          <w:rFonts w:ascii="宋体"/>
          <w:szCs w:val="21"/>
        </w:rPr>
      </w:pPr>
      <w:r>
        <w:rPr>
          <w:rFonts w:hint="eastAsia" w:ascii="宋体" w:hAnsi="宋体"/>
          <w:szCs w:val="21"/>
        </w:rPr>
        <w:t>本人</w:t>
      </w:r>
      <w:r>
        <w:rPr>
          <w:rFonts w:hint="eastAsia" w:ascii="宋体" w:hAnsi="宋体"/>
          <w:szCs w:val="21"/>
          <w:u w:val="single"/>
        </w:rPr>
        <w:t>（姓名）</w:t>
      </w:r>
      <w:r>
        <w:rPr>
          <w:rFonts w:hint="eastAsia" w:ascii="宋体" w:hAnsi="宋体"/>
          <w:szCs w:val="21"/>
        </w:rPr>
        <w:t>系</w:t>
      </w:r>
      <w:r>
        <w:rPr>
          <w:rFonts w:hint="eastAsia" w:ascii="宋体" w:hAnsi="宋体"/>
          <w:szCs w:val="21"/>
          <w:u w:val="single"/>
        </w:rPr>
        <w:t>（投标人名称）</w:t>
      </w:r>
      <w:r>
        <w:rPr>
          <w:rFonts w:hint="eastAsia" w:ascii="宋体" w:hAnsi="宋体"/>
          <w:szCs w:val="21"/>
        </w:rPr>
        <w:t>的法定代表人，现委托我单位拟派</w:t>
      </w:r>
      <w:r>
        <w:rPr>
          <w:rFonts w:hint="eastAsia" w:ascii="宋体" w:hAnsi="宋体"/>
          <w:szCs w:val="21"/>
          <w:u w:val="single"/>
        </w:rPr>
        <w:t>（姓名）</w:t>
      </w:r>
      <w:r>
        <w:rPr>
          <w:rFonts w:hint="eastAsia" w:ascii="宋体" w:hAnsi="宋体"/>
          <w:szCs w:val="21"/>
        </w:rPr>
        <w:t>身份证号：</w:t>
      </w:r>
      <w:r>
        <w:rPr>
          <w:rFonts w:hint="eastAsia" w:ascii="宋体" w:hAnsi="宋体"/>
          <w:szCs w:val="21"/>
          <w:u w:val="single"/>
        </w:rPr>
        <w:t xml:space="preserve">          </w:t>
      </w:r>
      <w:r>
        <w:rPr>
          <w:rFonts w:hint="eastAsia" w:ascii="宋体" w:hAnsi="宋体"/>
          <w:szCs w:val="21"/>
        </w:rPr>
        <w:t>为我方代理人。代理人根据授权，就</w:t>
      </w:r>
      <w:r>
        <w:rPr>
          <w:rFonts w:hint="eastAsia" w:ascii="宋体" w:hAnsi="宋体"/>
          <w:szCs w:val="21"/>
          <w:u w:val="single"/>
        </w:rPr>
        <w:t xml:space="preserve">           （项目）</w:t>
      </w:r>
      <w:r>
        <w:rPr>
          <w:rFonts w:hint="eastAsia" w:ascii="宋体" w:hAnsi="宋体"/>
          <w:szCs w:val="21"/>
        </w:rPr>
        <w:t>以我方名义递交报价文件、撤回报价文件、参加比价会、签署比价记录和下文载明的其他事项，其法律后果由我方承担。</w:t>
      </w:r>
    </w:p>
    <w:p w14:paraId="3BBF462F">
      <w:pPr>
        <w:spacing w:line="360" w:lineRule="auto"/>
        <w:ind w:firstLine="435"/>
        <w:rPr>
          <w:rFonts w:ascii="宋体" w:hAnsi="宋体"/>
          <w:szCs w:val="21"/>
          <w:u w:val="single"/>
        </w:rPr>
      </w:pPr>
      <w:r>
        <w:rPr>
          <w:rFonts w:hint="eastAsia" w:ascii="宋体" w:hAnsi="宋体"/>
          <w:szCs w:val="21"/>
        </w:rPr>
        <w:t>其他事项：</w:t>
      </w:r>
    </w:p>
    <w:p w14:paraId="153E0D28">
      <w:pPr>
        <w:topLinePunct/>
        <w:spacing w:line="360" w:lineRule="auto"/>
        <w:ind w:firstLine="1470" w:firstLineChars="700"/>
        <w:rPr>
          <w:rFonts w:ascii="宋体"/>
          <w:szCs w:val="21"/>
        </w:rPr>
      </w:pPr>
      <w:r>
        <w:rPr>
          <w:rFonts w:hint="eastAsia" w:ascii="宋体" w:hAnsi="宋体"/>
          <w:szCs w:val="21"/>
        </w:rPr>
        <w:t>。</w:t>
      </w:r>
    </w:p>
    <w:p w14:paraId="413EBE45">
      <w:pPr>
        <w:spacing w:line="360" w:lineRule="auto"/>
        <w:ind w:firstLine="435"/>
        <w:rPr>
          <w:rFonts w:ascii="宋体" w:hAnsi="宋体"/>
          <w:szCs w:val="21"/>
          <w:u w:val="single"/>
        </w:rPr>
      </w:pPr>
      <w:r>
        <w:rPr>
          <w:rFonts w:hint="eastAsia" w:ascii="宋体" w:hAnsi="宋体"/>
          <w:szCs w:val="21"/>
        </w:rPr>
        <w:t>委托期限：</w:t>
      </w:r>
    </w:p>
    <w:p w14:paraId="2A6CF390">
      <w:pPr>
        <w:spacing w:line="360" w:lineRule="auto"/>
        <w:ind w:firstLine="1484" w:firstLineChars="707"/>
        <w:rPr>
          <w:rFonts w:ascii="宋体"/>
          <w:szCs w:val="21"/>
        </w:rPr>
      </w:pPr>
      <w:r>
        <w:rPr>
          <w:rFonts w:hint="eastAsia" w:ascii="宋体" w:hAnsi="宋体"/>
          <w:szCs w:val="21"/>
        </w:rPr>
        <w:t>。</w:t>
      </w:r>
    </w:p>
    <w:p w14:paraId="797FBD19">
      <w:pPr>
        <w:spacing w:line="360" w:lineRule="auto"/>
        <w:ind w:firstLine="420" w:firstLineChars="200"/>
        <w:rPr>
          <w:rFonts w:ascii="宋体"/>
          <w:szCs w:val="21"/>
        </w:rPr>
      </w:pPr>
    </w:p>
    <w:p w14:paraId="5F9E7881">
      <w:pPr>
        <w:spacing w:line="360" w:lineRule="auto"/>
        <w:ind w:firstLine="420" w:firstLineChars="200"/>
        <w:rPr>
          <w:rFonts w:ascii="宋体"/>
          <w:szCs w:val="21"/>
        </w:rPr>
      </w:pPr>
      <w:r>
        <w:rPr>
          <w:rFonts w:hint="eastAsia" w:ascii="宋体" w:hAnsi="宋体"/>
          <w:szCs w:val="21"/>
        </w:rPr>
        <w:t>代理人无转委托权。</w:t>
      </w:r>
    </w:p>
    <w:p w14:paraId="7206874E">
      <w:pPr>
        <w:spacing w:line="360" w:lineRule="auto"/>
        <w:ind w:firstLine="420" w:firstLineChars="200"/>
        <w:rPr>
          <w:rFonts w:ascii="宋体"/>
          <w:szCs w:val="21"/>
        </w:rPr>
      </w:pPr>
    </w:p>
    <w:p w14:paraId="4ABDD100">
      <w:pPr>
        <w:spacing w:line="360" w:lineRule="auto"/>
        <w:ind w:firstLine="420" w:firstLineChars="200"/>
        <w:rPr>
          <w:rFonts w:ascii="宋体"/>
          <w:szCs w:val="21"/>
        </w:rPr>
      </w:pPr>
      <w:r>
        <w:rPr>
          <w:rFonts w:hint="eastAsia" w:ascii="宋体" w:hAnsi="宋体"/>
          <w:szCs w:val="21"/>
        </w:rPr>
        <w:t>附：法定代表人身份证明、法定代表人身份证复印件、授权代表身份证复印件</w:t>
      </w:r>
    </w:p>
    <w:p w14:paraId="3CD12496">
      <w:pPr>
        <w:spacing w:line="360" w:lineRule="auto"/>
        <w:rPr>
          <w:rFonts w:ascii="宋体"/>
        </w:rPr>
      </w:pPr>
    </w:p>
    <w:p w14:paraId="17449096">
      <w:pPr>
        <w:spacing w:line="360" w:lineRule="auto"/>
        <w:rPr>
          <w:rFonts w:ascii="宋体"/>
        </w:rPr>
      </w:pPr>
    </w:p>
    <w:p w14:paraId="00774727">
      <w:pPr>
        <w:spacing w:line="360" w:lineRule="auto"/>
        <w:ind w:right="210" w:firstLine="3238" w:firstLineChars="1542"/>
        <w:jc w:val="right"/>
        <w:rPr>
          <w:rFonts w:ascii="宋体"/>
          <w:szCs w:val="21"/>
        </w:rPr>
      </w:pPr>
      <w:r>
        <w:rPr>
          <w:rFonts w:hint="eastAsia" w:ascii="宋体" w:hAnsi="宋体"/>
          <w:szCs w:val="21"/>
        </w:rPr>
        <w:t>投标人：（盖单位章）</w:t>
      </w:r>
    </w:p>
    <w:p w14:paraId="4B88219D">
      <w:pPr>
        <w:tabs>
          <w:tab w:val="left" w:pos="3969"/>
          <w:tab w:val="left" w:pos="4536"/>
        </w:tabs>
        <w:spacing w:line="360" w:lineRule="auto"/>
        <w:ind w:right="315" w:firstLine="3968" w:firstLineChars="1890"/>
        <w:jc w:val="right"/>
        <w:rPr>
          <w:rFonts w:ascii="宋体"/>
          <w:szCs w:val="21"/>
        </w:rPr>
      </w:pPr>
      <w:r>
        <w:rPr>
          <w:rFonts w:hint="eastAsia" w:ascii="宋体" w:hAnsi="宋体"/>
          <w:szCs w:val="21"/>
        </w:rPr>
        <w:t>法定代表人：（签字）</w:t>
      </w:r>
    </w:p>
    <w:p w14:paraId="32560BAB">
      <w:pPr>
        <w:spacing w:line="360" w:lineRule="auto"/>
        <w:rPr>
          <w:rFonts w:ascii="宋体"/>
          <w:szCs w:val="21"/>
        </w:rPr>
      </w:pPr>
    </w:p>
    <w:p w14:paraId="4E88DD40">
      <w:pPr>
        <w:wordWrap w:val="0"/>
        <w:jc w:val="right"/>
        <w:rPr>
          <w:rFonts w:ascii="宋体" w:hAnsi="宋体"/>
          <w:szCs w:val="21"/>
        </w:rPr>
      </w:pPr>
      <w:r>
        <w:rPr>
          <w:rFonts w:hint="eastAsia" w:ascii="宋体" w:hAnsi="宋体"/>
          <w:szCs w:val="21"/>
        </w:rPr>
        <w:t>日期：   年  月  日</w:t>
      </w:r>
    </w:p>
    <w:p w14:paraId="0199F20B">
      <w:pPr>
        <w:jc w:val="right"/>
        <w:rPr>
          <w:rFonts w:ascii="宋体" w:hAnsi="宋体"/>
          <w:szCs w:val="21"/>
        </w:rPr>
      </w:pPr>
    </w:p>
    <w:p w14:paraId="0499CF0D">
      <w:pPr>
        <w:jc w:val="right"/>
        <w:rPr>
          <w:rFonts w:ascii="宋体" w:hAnsi="宋体"/>
          <w:szCs w:val="21"/>
        </w:rPr>
      </w:pPr>
    </w:p>
    <w:p w14:paraId="59575C22">
      <w:pPr>
        <w:jc w:val="right"/>
        <w:rPr>
          <w:rFonts w:ascii="宋体" w:hAnsi="宋体"/>
          <w:szCs w:val="21"/>
        </w:rPr>
      </w:pPr>
    </w:p>
    <w:p w14:paraId="5FBF8F08">
      <w:pPr>
        <w:jc w:val="right"/>
        <w:rPr>
          <w:rFonts w:ascii="宋体" w:hAnsi="宋体"/>
          <w:szCs w:val="21"/>
        </w:rPr>
      </w:pPr>
    </w:p>
    <w:p w14:paraId="1AFB8BF0">
      <w:pPr>
        <w:jc w:val="right"/>
        <w:rPr>
          <w:rFonts w:ascii="宋体" w:hAnsi="宋体"/>
          <w:szCs w:val="21"/>
        </w:rPr>
      </w:pPr>
    </w:p>
    <w:p w14:paraId="695FF909">
      <w:pPr>
        <w:jc w:val="right"/>
        <w:rPr>
          <w:rFonts w:ascii="宋体" w:hAnsi="宋体"/>
          <w:szCs w:val="21"/>
        </w:rPr>
      </w:pPr>
    </w:p>
    <w:p w14:paraId="10EC37AB">
      <w:pPr>
        <w:jc w:val="right"/>
        <w:rPr>
          <w:rFonts w:ascii="宋体" w:hAnsi="宋体"/>
          <w:szCs w:val="21"/>
        </w:rPr>
      </w:pPr>
    </w:p>
    <w:p w14:paraId="2B06ECBA">
      <w:pPr>
        <w:jc w:val="right"/>
        <w:rPr>
          <w:rFonts w:ascii="宋体" w:hAnsi="宋体"/>
          <w:szCs w:val="21"/>
        </w:rPr>
      </w:pPr>
    </w:p>
    <w:p w14:paraId="21E24171">
      <w:pPr>
        <w:jc w:val="right"/>
        <w:rPr>
          <w:rFonts w:ascii="宋体" w:hAnsi="宋体"/>
          <w:szCs w:val="21"/>
        </w:rPr>
      </w:pPr>
    </w:p>
    <w:p w14:paraId="2FDFD6EF">
      <w:pPr>
        <w:jc w:val="right"/>
        <w:rPr>
          <w:rFonts w:ascii="宋体" w:hAnsi="宋体"/>
          <w:szCs w:val="21"/>
        </w:rPr>
      </w:pPr>
    </w:p>
    <w:p w14:paraId="752D0229">
      <w:pPr>
        <w:jc w:val="right"/>
        <w:rPr>
          <w:rFonts w:ascii="宋体" w:hAnsi="宋体"/>
          <w:szCs w:val="21"/>
        </w:rPr>
      </w:pPr>
    </w:p>
    <w:p w14:paraId="3FA57D4F">
      <w:pPr>
        <w:spacing w:after="156" w:afterLines="50"/>
        <w:jc w:val="left"/>
        <w:outlineLvl w:val="1"/>
        <w:rPr>
          <w:rFonts w:ascii="仿宋_GB2312" w:hAnsi="宋体" w:eastAsia="仿宋_GB2312"/>
          <w:bCs/>
          <w:sz w:val="28"/>
          <w:szCs w:val="28"/>
        </w:rPr>
      </w:pPr>
      <w:r>
        <w:rPr>
          <w:rFonts w:hint="eastAsia" w:ascii="Arial" w:hAnsi="Arial" w:eastAsia="黑体" w:cs="Arial"/>
          <w:sz w:val="28"/>
          <w:szCs w:val="28"/>
        </w:rPr>
        <w:t>附件二：</w:t>
      </w:r>
    </w:p>
    <w:p w14:paraId="0EF35294">
      <w:pPr>
        <w:spacing w:line="360" w:lineRule="auto"/>
        <w:jc w:val="center"/>
        <w:rPr>
          <w:rFonts w:ascii="宋体" w:hAnsi="宋体"/>
          <w:b/>
          <w:sz w:val="28"/>
          <w:szCs w:val="28"/>
        </w:rPr>
      </w:pPr>
      <w:r>
        <w:rPr>
          <w:rFonts w:hint="eastAsia" w:ascii="宋体" w:hAnsi="宋体"/>
          <w:b/>
          <w:sz w:val="28"/>
          <w:szCs w:val="28"/>
        </w:rPr>
        <w:t>报名确认记录</w:t>
      </w:r>
    </w:p>
    <w:p w14:paraId="1BF7A359">
      <w:pPr>
        <w:jc w:val="center"/>
        <w:rPr>
          <w:rFonts w:ascii="黑体" w:hAnsi="黑体" w:eastAsia="黑体"/>
          <w:sz w:val="28"/>
          <w:szCs w:val="32"/>
        </w:rPr>
      </w:pPr>
    </w:p>
    <w:p w14:paraId="370E3530">
      <w:pPr>
        <w:rPr>
          <w:rFonts w:ascii="宋体" w:hAnsi="宋体"/>
          <w:sz w:val="24"/>
        </w:rPr>
      </w:pPr>
      <w:r>
        <w:rPr>
          <w:rFonts w:hint="eastAsia" w:ascii="宋体" w:hAnsi="宋体"/>
          <w:sz w:val="24"/>
        </w:rPr>
        <w:t>投标人名称：中国医学科学院北京协和医院</w:t>
      </w:r>
    </w:p>
    <w:p w14:paraId="25BA64EB">
      <w:pPr>
        <w:jc w:val="left"/>
        <w:rPr>
          <w:rFonts w:ascii="宋体" w:hAnsi="宋体"/>
          <w:sz w:val="24"/>
        </w:rPr>
      </w:pPr>
      <w:r>
        <w:rPr>
          <w:rFonts w:hint="eastAsia" w:ascii="宋体" w:hAnsi="宋体"/>
          <w:sz w:val="24"/>
        </w:rPr>
        <w:t xml:space="preserve">项目名称： </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94"/>
        <w:gridCol w:w="4728"/>
      </w:tblGrid>
      <w:tr w14:paraId="39123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shd w:val="clear" w:color="auto" w:fill="auto"/>
            <w:vAlign w:val="center"/>
          </w:tcPr>
          <w:p w14:paraId="054302D7">
            <w:pPr>
              <w:spacing w:line="360" w:lineRule="auto"/>
              <w:jc w:val="center"/>
              <w:rPr>
                <w:rFonts w:ascii="宋体" w:hAnsi="宋体"/>
                <w:sz w:val="24"/>
              </w:rPr>
            </w:pPr>
            <w:r>
              <w:rPr>
                <w:rFonts w:hint="eastAsia" w:ascii="宋体" w:hAnsi="宋体"/>
                <w:sz w:val="24"/>
              </w:rPr>
              <w:t>投标人名称</w:t>
            </w:r>
          </w:p>
          <w:p w14:paraId="6082BB8E">
            <w:pPr>
              <w:spacing w:line="360" w:lineRule="auto"/>
              <w:jc w:val="center"/>
              <w:rPr>
                <w:rFonts w:ascii="宋体" w:hAnsi="宋体"/>
                <w:sz w:val="24"/>
              </w:rPr>
            </w:pPr>
            <w:r>
              <w:rPr>
                <w:rFonts w:hint="eastAsia" w:ascii="宋体" w:hAnsi="宋体"/>
                <w:sz w:val="24"/>
              </w:rPr>
              <w:t>(投标人营业执照登记的全称)</w:t>
            </w:r>
          </w:p>
        </w:tc>
        <w:tc>
          <w:tcPr>
            <w:tcW w:w="4728" w:type="dxa"/>
            <w:shd w:val="clear" w:color="auto" w:fill="auto"/>
            <w:vAlign w:val="center"/>
          </w:tcPr>
          <w:p w14:paraId="722DA62E">
            <w:pPr>
              <w:spacing w:line="360" w:lineRule="auto"/>
              <w:jc w:val="center"/>
              <w:rPr>
                <w:rFonts w:ascii="宋体" w:hAnsi="宋体"/>
                <w:sz w:val="24"/>
              </w:rPr>
            </w:pPr>
          </w:p>
        </w:tc>
      </w:tr>
      <w:tr w14:paraId="59F98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shd w:val="clear" w:color="auto" w:fill="auto"/>
            <w:vAlign w:val="center"/>
          </w:tcPr>
          <w:p w14:paraId="17FAD297">
            <w:pPr>
              <w:spacing w:line="360" w:lineRule="auto"/>
              <w:jc w:val="center"/>
              <w:rPr>
                <w:rFonts w:ascii="宋体" w:hAnsi="宋体"/>
                <w:sz w:val="24"/>
              </w:rPr>
            </w:pPr>
            <w:r>
              <w:rPr>
                <w:rFonts w:hint="eastAsia" w:ascii="宋体" w:hAnsi="宋体"/>
                <w:sz w:val="24"/>
              </w:rPr>
              <w:t>项目联系人</w:t>
            </w:r>
          </w:p>
        </w:tc>
        <w:tc>
          <w:tcPr>
            <w:tcW w:w="4728" w:type="dxa"/>
            <w:shd w:val="clear" w:color="auto" w:fill="auto"/>
            <w:vAlign w:val="center"/>
          </w:tcPr>
          <w:p w14:paraId="506123B0">
            <w:pPr>
              <w:spacing w:line="360" w:lineRule="auto"/>
              <w:jc w:val="center"/>
              <w:rPr>
                <w:rFonts w:ascii="宋体" w:hAnsi="宋体"/>
                <w:sz w:val="24"/>
              </w:rPr>
            </w:pPr>
          </w:p>
        </w:tc>
      </w:tr>
      <w:tr w14:paraId="7F6A9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shd w:val="clear" w:color="auto" w:fill="auto"/>
            <w:vAlign w:val="center"/>
          </w:tcPr>
          <w:p w14:paraId="63FA7343">
            <w:pPr>
              <w:spacing w:line="360" w:lineRule="auto"/>
              <w:jc w:val="center"/>
              <w:rPr>
                <w:rFonts w:ascii="宋体" w:hAnsi="宋体"/>
                <w:sz w:val="24"/>
              </w:rPr>
            </w:pPr>
            <w:r>
              <w:rPr>
                <w:rFonts w:hint="eastAsia" w:ascii="宋体" w:hAnsi="宋体"/>
                <w:sz w:val="24"/>
              </w:rPr>
              <w:t>联系电话（手机+固话）</w:t>
            </w:r>
          </w:p>
        </w:tc>
        <w:tc>
          <w:tcPr>
            <w:tcW w:w="4728" w:type="dxa"/>
            <w:shd w:val="clear" w:color="auto" w:fill="auto"/>
            <w:vAlign w:val="center"/>
          </w:tcPr>
          <w:p w14:paraId="08D794A3">
            <w:pPr>
              <w:spacing w:line="360" w:lineRule="auto"/>
              <w:jc w:val="center"/>
              <w:rPr>
                <w:rFonts w:ascii="宋体" w:hAnsi="宋体"/>
                <w:sz w:val="24"/>
              </w:rPr>
            </w:pPr>
          </w:p>
        </w:tc>
      </w:tr>
      <w:tr w14:paraId="54B75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shd w:val="clear" w:color="auto" w:fill="auto"/>
            <w:vAlign w:val="center"/>
          </w:tcPr>
          <w:p w14:paraId="121B0C20">
            <w:pPr>
              <w:spacing w:line="360" w:lineRule="auto"/>
              <w:jc w:val="center"/>
              <w:rPr>
                <w:rFonts w:ascii="宋体" w:hAnsi="宋体"/>
                <w:sz w:val="24"/>
              </w:rPr>
            </w:pPr>
            <w:r>
              <w:rPr>
                <w:rFonts w:hint="eastAsia" w:ascii="宋体" w:hAnsi="宋体"/>
                <w:sz w:val="24"/>
              </w:rPr>
              <w:t>电子邮箱</w:t>
            </w:r>
          </w:p>
        </w:tc>
        <w:tc>
          <w:tcPr>
            <w:tcW w:w="4728" w:type="dxa"/>
            <w:shd w:val="clear" w:color="auto" w:fill="auto"/>
            <w:vAlign w:val="center"/>
          </w:tcPr>
          <w:p w14:paraId="495BEF61">
            <w:pPr>
              <w:spacing w:line="360" w:lineRule="auto"/>
              <w:jc w:val="center"/>
              <w:rPr>
                <w:rFonts w:ascii="宋体" w:hAnsi="宋体"/>
                <w:sz w:val="24"/>
              </w:rPr>
            </w:pPr>
          </w:p>
        </w:tc>
      </w:tr>
      <w:tr w14:paraId="5D0D9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0" w:hRule="atLeast"/>
        </w:trPr>
        <w:tc>
          <w:tcPr>
            <w:tcW w:w="3794" w:type="dxa"/>
            <w:shd w:val="clear" w:color="auto" w:fill="auto"/>
            <w:vAlign w:val="center"/>
          </w:tcPr>
          <w:p w14:paraId="545261D6">
            <w:pPr>
              <w:spacing w:line="360" w:lineRule="auto"/>
              <w:jc w:val="center"/>
              <w:rPr>
                <w:rFonts w:ascii="宋体" w:hAnsi="宋体"/>
                <w:sz w:val="24"/>
              </w:rPr>
            </w:pPr>
            <w:r>
              <w:rPr>
                <w:rFonts w:hint="eastAsia" w:ascii="宋体" w:hAnsi="宋体"/>
                <w:sz w:val="24"/>
              </w:rPr>
              <w:t>提供投标人资格要求第二.2条所需材料</w:t>
            </w:r>
          </w:p>
        </w:tc>
        <w:tc>
          <w:tcPr>
            <w:tcW w:w="4728" w:type="dxa"/>
            <w:shd w:val="clear" w:color="auto" w:fill="auto"/>
            <w:vAlign w:val="center"/>
          </w:tcPr>
          <w:p w14:paraId="57398A94">
            <w:pPr>
              <w:spacing w:line="360" w:lineRule="auto"/>
              <w:jc w:val="center"/>
              <w:rPr>
                <w:rFonts w:ascii="宋体" w:hAnsi="宋体"/>
                <w:sz w:val="24"/>
              </w:rPr>
            </w:pPr>
          </w:p>
        </w:tc>
      </w:tr>
    </w:tbl>
    <w:p w14:paraId="3FD41263">
      <w:pPr>
        <w:pStyle w:val="9"/>
        <w:numPr>
          <w:ilvl w:val="0"/>
          <w:numId w:val="10"/>
        </w:numPr>
        <w:spacing w:line="276" w:lineRule="auto"/>
        <w:ind w:firstLineChars="0"/>
        <w:rPr>
          <w:rFonts w:ascii="宋体" w:hAnsi="宋体"/>
          <w:sz w:val="24"/>
          <w:szCs w:val="24"/>
        </w:rPr>
      </w:pPr>
      <w:r>
        <w:rPr>
          <w:rFonts w:hint="eastAsia" w:ascii="宋体" w:hAnsi="宋体"/>
          <w:sz w:val="24"/>
          <w:szCs w:val="24"/>
        </w:rPr>
        <w:t>投标人名称须与实际投标人营业执照登记名称完全一致。</w:t>
      </w:r>
    </w:p>
    <w:p w14:paraId="786934F3">
      <w:pPr>
        <w:pStyle w:val="9"/>
        <w:numPr>
          <w:ilvl w:val="0"/>
          <w:numId w:val="10"/>
        </w:numPr>
        <w:spacing w:line="276" w:lineRule="auto"/>
        <w:ind w:firstLineChars="0"/>
        <w:rPr>
          <w:rFonts w:ascii="宋体" w:hAnsi="宋体"/>
          <w:sz w:val="24"/>
          <w:szCs w:val="24"/>
        </w:rPr>
      </w:pPr>
      <w:r>
        <w:rPr>
          <w:rFonts w:hint="eastAsia" w:ascii="宋体" w:hAnsi="宋体"/>
          <w:sz w:val="24"/>
          <w:szCs w:val="24"/>
        </w:rPr>
        <w:t>登记的电话、传真号码须正常，因登记号码有误导致的通知或其他文件不能及时传达，后果由参选人自负</w:t>
      </w:r>
    </w:p>
    <w:p w14:paraId="6B59AFE2">
      <w:pPr>
        <w:pStyle w:val="9"/>
        <w:numPr>
          <w:ilvl w:val="0"/>
          <w:numId w:val="10"/>
        </w:numPr>
        <w:spacing w:line="276" w:lineRule="auto"/>
        <w:ind w:firstLineChars="0"/>
        <w:rPr>
          <w:rFonts w:ascii="宋体" w:hAnsi="宋体"/>
          <w:sz w:val="24"/>
          <w:szCs w:val="24"/>
        </w:rPr>
      </w:pPr>
      <w:r>
        <w:rPr>
          <w:rFonts w:hint="eastAsia" w:ascii="宋体" w:hAnsi="宋体"/>
          <w:sz w:val="24"/>
          <w:szCs w:val="24"/>
        </w:rPr>
        <w:t>项目联系人须为投标人指定的正式人员</w:t>
      </w:r>
    </w:p>
    <w:p w14:paraId="46A76FA3">
      <w:pPr>
        <w:spacing w:line="360" w:lineRule="auto"/>
        <w:rPr>
          <w:rFonts w:ascii="宋体" w:hAnsi="宋体"/>
          <w:sz w:val="24"/>
        </w:rPr>
      </w:pPr>
    </w:p>
    <w:p w14:paraId="6C05DA3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SSJ-PK74820000023-Identity-H">
    <w:altName w:val="Cambria"/>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A95D3F"/>
    <w:multiLevelType w:val="multilevel"/>
    <w:tmpl w:val="17A95D3F"/>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7CF6E6E"/>
    <w:multiLevelType w:val="multilevel"/>
    <w:tmpl w:val="27CF6E6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6B47A4"/>
    <w:multiLevelType w:val="multilevel"/>
    <w:tmpl w:val="2C6B47A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0457B77"/>
    <w:multiLevelType w:val="multilevel"/>
    <w:tmpl w:val="30457B77"/>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6A7605C"/>
    <w:multiLevelType w:val="multilevel"/>
    <w:tmpl w:val="36A7605C"/>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9DF60A1"/>
    <w:multiLevelType w:val="multilevel"/>
    <w:tmpl w:val="69DF60A1"/>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A9067EC"/>
    <w:multiLevelType w:val="multilevel"/>
    <w:tmpl w:val="6A9067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1B210C8"/>
    <w:multiLevelType w:val="multilevel"/>
    <w:tmpl w:val="71B210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3C10128"/>
    <w:multiLevelType w:val="multilevel"/>
    <w:tmpl w:val="73C10128"/>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7F680CF4"/>
    <w:multiLevelType w:val="multilevel"/>
    <w:tmpl w:val="7F680CF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
  </w:num>
  <w:num w:numId="3">
    <w:abstractNumId w:val="2"/>
  </w:num>
  <w:num w:numId="4">
    <w:abstractNumId w:val="5"/>
  </w:num>
  <w:num w:numId="5">
    <w:abstractNumId w:val="4"/>
  </w:num>
  <w:num w:numId="6">
    <w:abstractNumId w:val="3"/>
  </w:num>
  <w:num w:numId="7">
    <w:abstractNumId w:val="0"/>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zNzY0YmMzZjE5MmE2NzdkMzA3YzA4YTljYTJhMjgifQ=="/>
  </w:docVars>
  <w:rsids>
    <w:rsidRoot w:val="00171C11"/>
    <w:rsid w:val="00143646"/>
    <w:rsid w:val="00171C11"/>
    <w:rsid w:val="00254373"/>
    <w:rsid w:val="00314505"/>
    <w:rsid w:val="00386642"/>
    <w:rsid w:val="004E7C4F"/>
    <w:rsid w:val="0053505F"/>
    <w:rsid w:val="006330B8"/>
    <w:rsid w:val="006F5E08"/>
    <w:rsid w:val="008E0093"/>
    <w:rsid w:val="00914A88"/>
    <w:rsid w:val="00C0342A"/>
    <w:rsid w:val="00DD2BF1"/>
    <w:rsid w:val="00E13199"/>
    <w:rsid w:val="00E20BA6"/>
    <w:rsid w:val="00E70F55"/>
    <w:rsid w:val="00EB521F"/>
    <w:rsid w:val="00F46021"/>
    <w:rsid w:val="00F95B3C"/>
    <w:rsid w:val="00FA4CD3"/>
    <w:rsid w:val="074327A4"/>
    <w:rsid w:val="08BB280E"/>
    <w:rsid w:val="0B6F6D66"/>
    <w:rsid w:val="10757746"/>
    <w:rsid w:val="12791770"/>
    <w:rsid w:val="179E57D5"/>
    <w:rsid w:val="2503311B"/>
    <w:rsid w:val="28D23530"/>
    <w:rsid w:val="29891E41"/>
    <w:rsid w:val="318178A1"/>
    <w:rsid w:val="32FB3FA8"/>
    <w:rsid w:val="3CAF532D"/>
    <w:rsid w:val="506B379F"/>
    <w:rsid w:val="52EA30A1"/>
    <w:rsid w:val="54141E9F"/>
    <w:rsid w:val="55855303"/>
    <w:rsid w:val="5EAA07DC"/>
    <w:rsid w:val="7B226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 w:type="character" w:customStyle="1" w:styleId="8">
    <w:name w:val="标题 2 Char Char"/>
    <w:qFormat/>
    <w:uiPriority w:val="0"/>
    <w:rPr>
      <w:rFonts w:ascii="Arial" w:hAnsi="Arial" w:eastAsia="黑体" w:cs="Times New Roman"/>
      <w:b/>
      <w:bCs/>
      <w:kern w:val="2"/>
      <w:sz w:val="32"/>
      <w:szCs w:val="32"/>
      <w:lang w:val="en-US" w:eastAsia="zh-CN" w:bidi="ar-SA"/>
    </w:rPr>
  </w:style>
  <w:style w:type="paragraph" w:styleId="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2481</Words>
  <Characters>2643</Characters>
  <Lines>20</Lines>
  <Paragraphs>5</Paragraphs>
  <TotalTime>0</TotalTime>
  <ScaleCrop>false</ScaleCrop>
  <LinksUpToDate>false</LinksUpToDate>
  <CharactersWithSpaces>2708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2024-07-12T01:16:00Z</dcterms:created>
  <dc:creator>李丹</dc:creator>
  <cp:lastModifiedBy>Whales</cp:lastModifiedBy>
  <dcterms:modified xsi:type="dcterms:W3CDTF">2024-08-13T01:35:29Z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DB155FBF9E7049B39BD0E0F06FBC0AEC_12</vt:lpwstr>
  </property>
</Properties>
</file>