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</w:t>
      </w:r>
      <w:r>
        <w:rPr>
          <w:rFonts w:hint="eastAsia"/>
          <w:b/>
          <w:color w:val="1F497D" w:themeColor="text2"/>
          <w:sz w:val="48"/>
          <w:lang w:val="en-US" w:eastAsia="zh-CN"/>
          <w14:textFill>
            <w14:solidFill>
              <w14:schemeClr w14:val="tx2"/>
            </w14:solidFill>
          </w14:textFill>
        </w:rPr>
        <w:t>02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）——</w:t>
      </w:r>
    </w:p>
    <w:p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一项评估BMS-986278 在进展性肺纤维化受试者中的疗效、安全性和耐受性的多中心、随机、双盲、安慰剂对照的III期研究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百时美施贵宝（中国）投资有限公司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上海市静安区南京西路1717号17楼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eastAsia="zh-CN"/>
                <w14:textFill>
                  <w14:solidFill>
                    <w14:schemeClr w14:val="tx2"/>
                  </w14:solidFill>
                </w14:textFill>
              </w:rPr>
              <w:t>闫明亮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  17600144804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spacing w:line="720" w:lineRule="auto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eastAsia="zh-CN"/>
                <w14:textFill>
                  <w14:solidFill>
                    <w14:schemeClr w14:val="tx2"/>
                  </w14:solidFill>
                </w14:textFill>
              </w:rPr>
              <w:t>丙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720" w:lineRule="auto"/>
              <w:rPr>
                <w:rFonts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富启睿医药研发（北京）有限公司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spacing w:line="720" w:lineRule="auto"/>
              <w:ind w:firstLine="241" w:firstLineChars="100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720" w:lineRule="auto"/>
              <w:rPr>
                <w:rFonts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北京市朝阳区酒仙桥路 10号院20号楼一层102室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spacing w:line="720" w:lineRule="auto"/>
              <w:ind w:firstLine="241" w:firstLineChars="100"/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720" w:lineRule="auto"/>
              <w:rPr>
                <w:rFonts w:hint="default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color w:val="1F497D" w:themeColor="text2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  <w:t>曾岩 15811021746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徐作军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eastAsia="zh-CN"/>
                <w14:textFill>
                  <w14:solidFill>
                    <w14:schemeClr w14:val="tx2"/>
                  </w14:solidFill>
                </w14:textFill>
              </w:rPr>
              <w:t>徐作军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 13671345136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hint="default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eastAsia="zh-CN"/>
                <w14:textFill>
                  <w14:solidFill>
                    <w14:schemeClr w14:val="tx2"/>
                  </w14:solidFill>
                </w14:textFill>
              </w:rPr>
              <w:t>田佳丽</w:t>
            </w: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 xml:space="preserve"> 69154187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甲方已委托乙方呼吸与危重症医学科</w:t>
      </w:r>
      <w:r>
        <w:rPr>
          <w:rFonts w:hint="eastAsia" w:asciiTheme="minorEastAsia" w:hAnsiTheme="minorEastAsia" w:eastAsiaTheme="minorEastAsia"/>
          <w:sz w:val="24"/>
          <w:lang w:eastAsia="zh-CN"/>
        </w:rPr>
        <w:t>徐作军</w:t>
      </w:r>
      <w:r>
        <w:rPr>
          <w:rFonts w:hint="eastAsia" w:asciiTheme="minorEastAsia" w:hAnsiTheme="minorEastAsia" w:eastAsiaTheme="minorEastAsia"/>
          <w:sz w:val="24"/>
        </w:rPr>
        <w:t>承担该项目临床试验并签订临床试验合同。</w:t>
      </w:r>
    </w:p>
    <w:p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tbl>
      <w:tblPr>
        <w:tblpPr w:leftFromText="180" w:rightFromText="180" w:vertAnchor="text" w:horzAnchor="page" w:tblpX="1728" w:tblpY="333"/>
        <w:tblOverlap w:val="never"/>
        <w:tblW w:w="9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096"/>
        <w:gridCol w:w="821"/>
        <w:gridCol w:w="821"/>
        <w:gridCol w:w="821"/>
        <w:gridCol w:w="821"/>
        <w:gridCol w:w="821"/>
        <w:gridCol w:w="436"/>
        <w:gridCol w:w="656"/>
        <w:gridCol w:w="710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spacing w:before="156" w:beforeLines="50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IM0271015-平台项目临床研究各项费用价目表-临床部分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  <w:t>平台项目病房服务费1明细表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费用名目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剂量递增给药期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合计次数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入组例数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入组金额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访视5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D7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D29</w:t>
            </w: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平台项目病房服务费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心电图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PK血液采集+处理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安全性血液采集（血清、血常规、血生化）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尿液采集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该项目适用范围为：III期日间不住院项目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1.血液采集：PK血采集、PD血采集、试验其他相关血液采集收费按30元/管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2.标本处理：PK血标本仅离心处理血样收费为60元/管，试验其他相关血液采集+离心收费90元/管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3.仅采集安全性血液：按次数抽取，30元/次（如采集一次同时抽取多种血液检测项目，仅收取一次采血费30元）采血管按照实际发生结算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4.根据试验分工表，以上所有时间及检查次数的计算均按照访视1-访视5周期计算，最终按照实际发生计算。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5.依据方案采集的样本及相关处理，最终按照实际发生计算。</w:t>
            </w:r>
          </w:p>
        </w:tc>
      </w:tr>
    </w:tbl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tbl>
      <w:tblPr>
        <w:tblW w:w="96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954"/>
        <w:gridCol w:w="868"/>
        <w:gridCol w:w="953"/>
        <w:gridCol w:w="986"/>
        <w:gridCol w:w="836"/>
        <w:gridCol w:w="782"/>
        <w:gridCol w:w="611"/>
        <w:gridCol w:w="932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  <w:t>平台项目病房服务费2明细表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  <w:t>平台病房观察费用</w:t>
            </w:r>
            <w:r>
              <w:rPr>
                <w:rStyle w:val="20"/>
                <w:bdr w:val="none" w:color="auto" w:sz="0" w:space="0"/>
                <w:lang w:val="en-US" w:eastAsia="zh-CN" w:bidi="ar"/>
              </w:rPr>
              <w:t>（班次按住院时长和天数计算，超过预计时间造成的加班按照350元/小时计）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住院时长</w:t>
            </w:r>
          </w:p>
        </w:tc>
        <w:tc>
          <w:tcPr>
            <w:tcW w:w="4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剂量递增给药期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PRICE    价格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访视合计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受试者   人 数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bdr w:val="none" w:color="auto" w:sz="0" w:space="0"/>
                <w:lang w:val="en-US" w:eastAsia="zh-CN" w:bidi="ar"/>
              </w:rPr>
              <w:t>总计金额</w:t>
            </w:r>
            <w:r>
              <w:rPr>
                <w:rStyle w:val="23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访视5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D29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4小时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加班费/小时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1.研究病房观察费用单价：该试验给药途径为：口服给药，收费为510元/天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2.根据试验分工表，该试验为访视1-访视5,住院4小时后出院，如后期继续给药，按实际发生支付费用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3.总金额=观察费用单价*天数*人数，</w:t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t>每个项目具体说明。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费用=金额*天数*人数=510*5*11=28050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生物样本保存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ITEMS 项目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VOLUME 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PRICE (RMB)  价格（人民币）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SUB TOTAL   总计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样品储存*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147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* 250RMB FOR ONE WEEK</w:t>
            </w:r>
            <w:r>
              <w:rPr>
                <w:rStyle w:val="21"/>
                <w:bdr w:val="none" w:color="auto" w:sz="0" w:space="0"/>
                <w:lang w:val="en-US" w:eastAsia="zh-CN" w:bidi="ar"/>
              </w:rPr>
              <w:t>，每周250元人民币，每月1000元人民币。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 样本储存按按1个月计算，最终以实际发生结算。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药物管理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药物分发/配制*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涉盲试验（非盲护士）**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*试验药物分发：超过一种以上，每种药物额外加收100元/种，</w:t>
            </w:r>
            <w:r>
              <w:rPr>
                <w:rStyle w:val="25"/>
                <w:bdr w:val="none" w:color="auto" w:sz="0" w:space="0"/>
                <w:lang w:val="en-US" w:eastAsia="zh-CN" w:bidi="ar"/>
              </w:rPr>
              <w:t>单药则不收费。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该试验为1种药物给药，故费用减免。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**如试验为双盲试验：根据给药次数及患者人数，每次非盲护士加收100元/种*次数*人数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</w:tbl>
    <w:p>
      <w:pPr>
        <w:pStyle w:val="13"/>
        <w:spacing w:before="156" w:beforeLines="50"/>
        <w:ind w:left="0" w:leftChars="0" w:firstLine="0" w:firstLineChars="0"/>
        <w:jc w:val="left"/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4"/>
          <w:szCs w:val="24"/>
          <w:lang w:val="en-US" w:eastAsia="zh-CN" w:bidi="ar-SA"/>
        </w:rPr>
        <w:t>材料明细表（HIS系统费用收取）</w:t>
      </w:r>
    </w:p>
    <w:tbl>
      <w:tblPr>
        <w:tblStyle w:val="8"/>
        <w:tblpPr w:leftFromText="180" w:rightFromText="180" w:vertAnchor="text" w:horzAnchor="page" w:tblpX="1797" w:tblpY="2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54"/>
        <w:gridCol w:w="1059"/>
        <w:gridCol w:w="1195"/>
        <w:gridCol w:w="1199"/>
        <w:gridCol w:w="1197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费用名目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给药期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合计次数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入组例数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材料费（HIS系统费用）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一次性采血管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留置针穿刺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一次性静脉留置针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自粘性贴膜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可来福接头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</w:t>
            </w:r>
          </w:p>
        </w:tc>
      </w:tr>
    </w:tbl>
    <w:p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备注：</w:t>
      </w:r>
    </w:p>
    <w:p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住院期间产生的所有和试验相关的材料费，最终以实际发生结算费用。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（1.1）*12%=（45099）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=5411.88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=（45099+5411.88）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=3419.5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（1.1+1.2+1.3=45099+5411.88+3419.5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</w:p>
    <w:p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=53930.4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tbl>
      <w:tblPr>
        <w:tblStyle w:val="7"/>
        <w:tblpPr w:leftFromText="180" w:rightFromText="180" w:vertAnchor="text" w:horzAnchor="page" w:tblpX="961" w:tblpY="208"/>
        <w:tblW w:w="97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99"/>
        <w:gridCol w:w="1888"/>
        <w:gridCol w:w="238"/>
        <w:gridCol w:w="1655"/>
        <w:gridCol w:w="330"/>
        <w:gridCol w:w="189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费用汇总表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单价（人民币）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预计例数/次数/月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小计（人民币）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1.研究病房服务费</w:t>
            </w:r>
          </w:p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心电图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PK血液采集+处理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630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安全性血液采集（血清、血常规、血生化）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尿液采集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平台项目病房观察费用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2550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生物样本保存费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41040.00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试验材料费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/>
              </w:rPr>
              <w:t>材料费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369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净值总额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45099.00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5411.88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流转税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3419.59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预计合同总额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53930.47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2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.净值总额计算方法为1+2+3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83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 xml:space="preserve">.管理费计算方法为净值总额×12% 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7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.流转费计算方法为（净值总额+管理费）×6.77%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</w:t>
      </w:r>
      <w:bookmarkStart w:id="0" w:name="_GoBack"/>
      <w:bookmarkEnd w:id="0"/>
      <w:r>
        <w:rPr>
          <w:rFonts w:asciiTheme="minorEastAsia" w:hAnsiTheme="minorEastAsia" w:eastAsiaTheme="minorEastAsia"/>
          <w:b/>
          <w:sz w:val="24"/>
        </w:rPr>
        <w:t>：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</w:rPr>
        <w:t>53930.47</w:t>
      </w:r>
      <w:r>
        <w:rPr>
          <w:rFonts w:asciiTheme="minorEastAsia" w:hAnsiTheme="minorEastAsia" w:eastAsiaTheme="minorEastAsia"/>
          <w:sz w:val="24"/>
        </w:rPr>
        <w:t>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壹万陆仟壹佰柒拾玖元一角四分</w:t>
      </w:r>
      <w:r>
        <w:rPr>
          <w:rFonts w:asciiTheme="minorEastAsia" w:hAnsiTheme="minorEastAsia" w:eastAsiaTheme="minorEastAsia"/>
          <w:sz w:val="24"/>
        </w:rPr>
        <w:t>（￥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16179.14</w:t>
      </w:r>
      <w:r>
        <w:rPr>
          <w:rFonts w:asciiTheme="minorEastAsia" w:hAnsiTheme="minorEastAsia" w:eastAsiaTheme="minorEastAsia"/>
          <w:sz w:val="24"/>
        </w:rPr>
        <w:t>元）。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</w:t>
      </w:r>
      <w:r>
        <w:rPr>
          <w:rFonts w:hint="eastAsia" w:asciiTheme="minorEastAsia" w:hAnsiTheme="minorEastAsia" w:eastAsiaTheme="minorEastAsia"/>
          <w:sz w:val="24"/>
          <w:lang w:eastAsia="zh-CN"/>
        </w:rPr>
        <w:t>五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一</w:t>
      </w:r>
      <w:r>
        <w:rPr>
          <w:rFonts w:hint="eastAsia" w:asciiTheme="minorEastAsia" w:hAnsiTheme="minorEastAsia" w:eastAsiaTheme="minorEastAsia"/>
          <w:sz w:val="24"/>
        </w:rPr>
        <w:t>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丙方一</w:t>
      </w:r>
      <w:r>
        <w:rPr>
          <w:rFonts w:hint="eastAsia" w:asciiTheme="minorEastAsia" w:hAnsiTheme="minorEastAsia" w:eastAsiaTheme="minorEastAsia"/>
          <w:sz w:val="24"/>
        </w:rPr>
        <w:t>份</w:t>
      </w:r>
      <w:r>
        <w:rPr>
          <w:rFonts w:asciiTheme="minorEastAsia" w:hAnsiTheme="minorEastAsia" w:eastAsiaTheme="minorEastAsia"/>
          <w:sz w:val="24"/>
        </w:rPr>
        <w:t>，经签约各方签字盖章后，最后一个签字日期起生效。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百时美施贵宝（中国）投资有限公司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上海市静安区南京西路1717号17楼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836" w:type="dxa"/>
            <w:vMerge w:val="restart"/>
            <w:tcBorders>
              <w:left w:val="single" w:color="auto" w:sz="12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委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丙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富启睿医药研发（北京）有限公司</w:t>
            </w:r>
          </w:p>
        </w:tc>
        <w:tc>
          <w:tcPr>
            <w:tcW w:w="1842" w:type="dxa"/>
            <w:vMerge w:val="restart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both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tcBorders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北京市朝阳区酒仙桥路 10号院20号楼一层102室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52023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</w:t>
            </w:r>
            <w:r>
              <w:t xml:space="preserve">V4.0  </w:t>
            </w:r>
            <w:r>
              <w:rPr>
                <w:rFonts w:hint="eastAsia"/>
              </w:rPr>
              <w:t>版本日期2023年</w:t>
            </w:r>
            <w:r>
              <w:t>2</w:t>
            </w:r>
            <w:r>
              <w:rPr>
                <w:rFonts w:hint="eastAsia"/>
              </w:rPr>
              <w:t>月7日</w:t>
            </w:r>
          </w:p>
          <w:p>
            <w:pPr>
              <w:pStyle w:val="4"/>
              <w:jc w:val="center"/>
            </w:pP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YzZmY2RiZjE0NWNlNzBlNDA0Njc4ZGEyZmM1ZTIifQ=="/>
  </w:docVars>
  <w:rsids>
    <w:rsidRoot w:val="00B22461"/>
    <w:rsid w:val="000026AC"/>
    <w:rsid w:val="00020672"/>
    <w:rsid w:val="00044C0A"/>
    <w:rsid w:val="00052A6F"/>
    <w:rsid w:val="00085A02"/>
    <w:rsid w:val="000A36CD"/>
    <w:rsid w:val="000A39F9"/>
    <w:rsid w:val="000D3370"/>
    <w:rsid w:val="000E493B"/>
    <w:rsid w:val="000F25C2"/>
    <w:rsid w:val="00112505"/>
    <w:rsid w:val="00144E73"/>
    <w:rsid w:val="00150DD3"/>
    <w:rsid w:val="00167CBB"/>
    <w:rsid w:val="00183A0D"/>
    <w:rsid w:val="001856B3"/>
    <w:rsid w:val="001936BF"/>
    <w:rsid w:val="00196574"/>
    <w:rsid w:val="001970D3"/>
    <w:rsid w:val="001E2CF9"/>
    <w:rsid w:val="001E3CAE"/>
    <w:rsid w:val="001E6FFA"/>
    <w:rsid w:val="001F33E1"/>
    <w:rsid w:val="0024569B"/>
    <w:rsid w:val="00250133"/>
    <w:rsid w:val="0025027B"/>
    <w:rsid w:val="00271D71"/>
    <w:rsid w:val="0029781F"/>
    <w:rsid w:val="002B6CEE"/>
    <w:rsid w:val="002C089E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73297"/>
    <w:rsid w:val="00492936"/>
    <w:rsid w:val="004A15D2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2F2"/>
    <w:rsid w:val="00591EAC"/>
    <w:rsid w:val="005A7EED"/>
    <w:rsid w:val="005B63C7"/>
    <w:rsid w:val="005E5337"/>
    <w:rsid w:val="005F5491"/>
    <w:rsid w:val="005F7A1B"/>
    <w:rsid w:val="00605FEF"/>
    <w:rsid w:val="00623512"/>
    <w:rsid w:val="006253FF"/>
    <w:rsid w:val="00635833"/>
    <w:rsid w:val="00646AE7"/>
    <w:rsid w:val="006471A6"/>
    <w:rsid w:val="00652BA9"/>
    <w:rsid w:val="006762AE"/>
    <w:rsid w:val="006809CC"/>
    <w:rsid w:val="00691622"/>
    <w:rsid w:val="006A0D84"/>
    <w:rsid w:val="006B79E1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7F046D"/>
    <w:rsid w:val="00804390"/>
    <w:rsid w:val="008360DB"/>
    <w:rsid w:val="0083623A"/>
    <w:rsid w:val="0084090B"/>
    <w:rsid w:val="00841BE3"/>
    <w:rsid w:val="00867DBA"/>
    <w:rsid w:val="00891609"/>
    <w:rsid w:val="008A223A"/>
    <w:rsid w:val="008C5B5A"/>
    <w:rsid w:val="008D6773"/>
    <w:rsid w:val="008E77C6"/>
    <w:rsid w:val="008F4081"/>
    <w:rsid w:val="009000D0"/>
    <w:rsid w:val="00914B61"/>
    <w:rsid w:val="00937872"/>
    <w:rsid w:val="0096278C"/>
    <w:rsid w:val="00980D55"/>
    <w:rsid w:val="0098365B"/>
    <w:rsid w:val="009B4E81"/>
    <w:rsid w:val="009B6C7E"/>
    <w:rsid w:val="009B7C02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D1062"/>
    <w:rsid w:val="00AE409D"/>
    <w:rsid w:val="00B22461"/>
    <w:rsid w:val="00B25703"/>
    <w:rsid w:val="00B26632"/>
    <w:rsid w:val="00B51003"/>
    <w:rsid w:val="00B57E56"/>
    <w:rsid w:val="00B66749"/>
    <w:rsid w:val="00B76AC9"/>
    <w:rsid w:val="00B77BF7"/>
    <w:rsid w:val="00BD7296"/>
    <w:rsid w:val="00BE15E9"/>
    <w:rsid w:val="00BE2480"/>
    <w:rsid w:val="00BF2DF8"/>
    <w:rsid w:val="00BF3AFB"/>
    <w:rsid w:val="00C059FE"/>
    <w:rsid w:val="00C05BDB"/>
    <w:rsid w:val="00C12EA5"/>
    <w:rsid w:val="00C425E5"/>
    <w:rsid w:val="00C51DE9"/>
    <w:rsid w:val="00C61F6D"/>
    <w:rsid w:val="00C62C1D"/>
    <w:rsid w:val="00C648D3"/>
    <w:rsid w:val="00C67513"/>
    <w:rsid w:val="00C845DA"/>
    <w:rsid w:val="00CD7D12"/>
    <w:rsid w:val="00CF17AA"/>
    <w:rsid w:val="00CF22FD"/>
    <w:rsid w:val="00D0090E"/>
    <w:rsid w:val="00D162C9"/>
    <w:rsid w:val="00D335FB"/>
    <w:rsid w:val="00D66545"/>
    <w:rsid w:val="00D711CF"/>
    <w:rsid w:val="00D83CF1"/>
    <w:rsid w:val="00DA350C"/>
    <w:rsid w:val="00DD6E21"/>
    <w:rsid w:val="00E00B81"/>
    <w:rsid w:val="00E02811"/>
    <w:rsid w:val="00E16FDB"/>
    <w:rsid w:val="00E24565"/>
    <w:rsid w:val="00E546C2"/>
    <w:rsid w:val="00ED0172"/>
    <w:rsid w:val="00ED435D"/>
    <w:rsid w:val="00EF4A22"/>
    <w:rsid w:val="00F10A3B"/>
    <w:rsid w:val="00F51E50"/>
    <w:rsid w:val="00F52BBB"/>
    <w:rsid w:val="00F75AD4"/>
    <w:rsid w:val="00F81048"/>
    <w:rsid w:val="00F83A98"/>
    <w:rsid w:val="00FD665B"/>
    <w:rsid w:val="00FE5C00"/>
    <w:rsid w:val="00FF7BCA"/>
    <w:rsid w:val="3F15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111"/>
    <w:basedOn w:val="9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1">
    <w:name w:val="font4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22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3">
    <w:name w:val="font13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4">
    <w:name w:val="font6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41"/>
    <w:basedOn w:val="9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font151"/>
    <w:basedOn w:val="9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7">
    <w:name w:val="font161"/>
    <w:basedOn w:val="9"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8">
    <w:name w:val="font171"/>
    <w:basedOn w:val="9"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9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309</Words>
  <Characters>1762</Characters>
  <Lines>14</Lines>
  <Paragraphs>4</Paragraphs>
  <TotalTime>41</TotalTime>
  <ScaleCrop>false</ScaleCrop>
  <LinksUpToDate>false</LinksUpToDate>
  <CharactersWithSpaces>2067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2023-02-07T03:07:00Z</dcterms:created>
  <dc:creator>USER-</dc:creator>
  <cp:lastModifiedBy>田佳丽</cp:lastModifiedBy>
  <dcterms:modified xsi:type="dcterms:W3CDTF">2024-02-02T07:43:29Z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B85A6118F5E04CBE827F4A86AD078FBF_12</vt:lpwstr>
  </property>
</Properties>
</file>